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77D9A" w14:textId="67B1598E" w:rsidR="007839FB" w:rsidRPr="00DE2173" w:rsidRDefault="007839FB" w:rsidP="00DE2173">
      <w:pPr>
        <w:spacing w:line="276" w:lineRule="auto"/>
        <w:jc w:val="right"/>
        <w:rPr>
          <w:rFonts w:ascii="Calibri" w:hAnsi="Calibri" w:cs="Calibri"/>
          <w:sz w:val="24"/>
          <w:szCs w:val="24"/>
        </w:rPr>
      </w:pPr>
      <w:r w:rsidRPr="00DE2173">
        <w:rPr>
          <w:rFonts w:ascii="Calibri" w:hAnsi="Calibri" w:cs="Calibri"/>
          <w:sz w:val="24"/>
          <w:szCs w:val="24"/>
        </w:rPr>
        <w:t>Załącznik nr</w:t>
      </w:r>
      <w:r w:rsidR="0035467E" w:rsidRPr="00DE2173">
        <w:rPr>
          <w:rFonts w:ascii="Calibri" w:hAnsi="Calibri" w:cs="Calibri"/>
          <w:sz w:val="24"/>
          <w:szCs w:val="24"/>
        </w:rPr>
        <w:t xml:space="preserve"> 1</w:t>
      </w:r>
      <w:r w:rsidR="00E90E93" w:rsidRPr="00DE2173">
        <w:rPr>
          <w:rFonts w:ascii="Calibri" w:hAnsi="Calibri" w:cs="Calibri"/>
          <w:sz w:val="24"/>
          <w:szCs w:val="24"/>
        </w:rPr>
        <w:t xml:space="preserve"> do </w:t>
      </w:r>
      <w:r w:rsidR="004B2DD9" w:rsidRPr="00DE2173">
        <w:rPr>
          <w:rFonts w:ascii="Calibri" w:hAnsi="Calibri" w:cs="Calibri"/>
          <w:sz w:val="24"/>
          <w:szCs w:val="24"/>
        </w:rPr>
        <w:t>Szczegółowych zasad finansowania badań w konkurs</w:t>
      </w:r>
      <w:r w:rsidR="00035252" w:rsidRPr="00DE2173">
        <w:rPr>
          <w:rFonts w:ascii="Calibri" w:hAnsi="Calibri" w:cs="Calibri"/>
          <w:sz w:val="24"/>
          <w:szCs w:val="24"/>
        </w:rPr>
        <w:t>ie</w:t>
      </w:r>
      <w:r w:rsidR="004B2DD9" w:rsidRPr="00DE2173">
        <w:rPr>
          <w:rFonts w:ascii="Calibri" w:hAnsi="Calibri" w:cs="Calibri"/>
          <w:sz w:val="24"/>
          <w:szCs w:val="24"/>
        </w:rPr>
        <w:t xml:space="preserve"> </w:t>
      </w:r>
      <w:r w:rsidR="003C7406" w:rsidRPr="00DE2173">
        <w:rPr>
          <w:rFonts w:ascii="Calibri" w:hAnsi="Calibri" w:cs="Calibri"/>
          <w:sz w:val="24"/>
          <w:szCs w:val="24"/>
        </w:rPr>
        <w:br/>
      </w:r>
      <w:r w:rsidR="004B2DD9" w:rsidRPr="00DE2173">
        <w:rPr>
          <w:rFonts w:ascii="Calibri" w:hAnsi="Calibri" w:cs="Calibri"/>
          <w:sz w:val="24"/>
          <w:szCs w:val="24"/>
        </w:rPr>
        <w:t>„Niepełnosprawność w naukach humanistycznych”</w:t>
      </w:r>
    </w:p>
    <w:p w14:paraId="186A64B9" w14:textId="77777777" w:rsidR="0095737D" w:rsidRPr="00DE2173" w:rsidRDefault="0095737D" w:rsidP="00DE2173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44A6D6B6" w14:textId="77777777" w:rsidR="007839FB" w:rsidRPr="00DE2173" w:rsidRDefault="003108D1" w:rsidP="00DE2173">
      <w:pPr>
        <w:spacing w:after="240" w:line="276" w:lineRule="auto"/>
        <w:rPr>
          <w:rFonts w:ascii="Calibri" w:hAnsi="Calibri" w:cs="Calibri"/>
          <w:b/>
          <w:sz w:val="30"/>
          <w:szCs w:val="30"/>
        </w:rPr>
      </w:pPr>
      <w:r w:rsidRPr="00DE2173">
        <w:rPr>
          <w:rFonts w:ascii="Calibri" w:hAnsi="Calibri" w:cs="Calibri"/>
          <w:b/>
          <w:sz w:val="30"/>
          <w:szCs w:val="30"/>
        </w:rPr>
        <w:t>Wykaz dyscyplin</w:t>
      </w:r>
    </w:p>
    <w:p w14:paraId="4F87E539" w14:textId="77777777" w:rsidR="00816F87" w:rsidRPr="00DE2173" w:rsidRDefault="007839FB" w:rsidP="00DE2173">
      <w:pPr>
        <w:spacing w:line="276" w:lineRule="auto"/>
        <w:rPr>
          <w:rFonts w:ascii="Calibri" w:hAnsi="Calibri" w:cs="Calibri"/>
          <w:sz w:val="24"/>
          <w:szCs w:val="24"/>
        </w:rPr>
      </w:pPr>
      <w:r w:rsidRPr="00DE2173">
        <w:rPr>
          <w:rFonts w:ascii="Calibri" w:hAnsi="Calibri" w:cs="Calibri"/>
          <w:sz w:val="24"/>
          <w:szCs w:val="24"/>
        </w:rPr>
        <w:t>Badania powinny zostać przeprowadzone w ramach jednej z wymienionych poniżej dyscyplin i dotyczyć tematyki niepełnosprawności:</w:t>
      </w:r>
    </w:p>
    <w:p w14:paraId="2B71A522" w14:textId="77777777" w:rsidR="00816F87" w:rsidRPr="00DE2173" w:rsidRDefault="00816F87" w:rsidP="00DE2173">
      <w:pPr>
        <w:pStyle w:val="Akapitzlist"/>
        <w:numPr>
          <w:ilvl w:val="0"/>
          <w:numId w:val="1"/>
        </w:numPr>
        <w:spacing w:after="40" w:line="276" w:lineRule="auto"/>
        <w:ind w:left="414" w:hanging="357"/>
        <w:contextualSpacing w:val="0"/>
        <w:rPr>
          <w:rFonts w:ascii="Calibri" w:hAnsi="Calibri" w:cs="Calibri"/>
          <w:sz w:val="24"/>
          <w:szCs w:val="24"/>
        </w:rPr>
      </w:pPr>
      <w:r w:rsidRPr="00DE2173">
        <w:rPr>
          <w:rFonts w:ascii="Calibri" w:hAnsi="Calibri" w:cs="Calibri"/>
          <w:sz w:val="24"/>
          <w:szCs w:val="24"/>
        </w:rPr>
        <w:t>Etnologia i antropologia kulturowa,</w:t>
      </w:r>
    </w:p>
    <w:p w14:paraId="41D8D2A2" w14:textId="77777777" w:rsidR="00816F87" w:rsidRPr="00DE2173" w:rsidRDefault="007839FB" w:rsidP="00DE2173">
      <w:pPr>
        <w:pStyle w:val="Akapitzlist"/>
        <w:numPr>
          <w:ilvl w:val="0"/>
          <w:numId w:val="1"/>
        </w:numPr>
        <w:spacing w:after="40" w:line="276" w:lineRule="auto"/>
        <w:ind w:left="414" w:hanging="357"/>
        <w:contextualSpacing w:val="0"/>
        <w:rPr>
          <w:rFonts w:ascii="Calibri" w:hAnsi="Calibri" w:cs="Calibri"/>
          <w:sz w:val="24"/>
          <w:szCs w:val="24"/>
        </w:rPr>
      </w:pPr>
      <w:r w:rsidRPr="00DE2173">
        <w:rPr>
          <w:rFonts w:ascii="Calibri" w:hAnsi="Calibri" w:cs="Calibri"/>
          <w:sz w:val="24"/>
          <w:szCs w:val="24"/>
        </w:rPr>
        <w:t>Etyka normatywna i opisowa, teoria moralności, bioetyka</w:t>
      </w:r>
      <w:r w:rsidR="00816F87" w:rsidRPr="00DE2173">
        <w:rPr>
          <w:rFonts w:ascii="Calibri" w:hAnsi="Calibri" w:cs="Calibri"/>
          <w:sz w:val="24"/>
          <w:szCs w:val="24"/>
        </w:rPr>
        <w:t>,</w:t>
      </w:r>
    </w:p>
    <w:p w14:paraId="36155D0E" w14:textId="77777777" w:rsidR="007839FB" w:rsidRPr="00DE2173" w:rsidRDefault="007839FB" w:rsidP="00DE2173">
      <w:pPr>
        <w:pStyle w:val="Akapitzlist"/>
        <w:numPr>
          <w:ilvl w:val="0"/>
          <w:numId w:val="1"/>
        </w:numPr>
        <w:spacing w:after="40" w:line="276" w:lineRule="auto"/>
        <w:ind w:left="414" w:hanging="357"/>
        <w:contextualSpacing w:val="0"/>
        <w:rPr>
          <w:rFonts w:ascii="Calibri" w:hAnsi="Calibri" w:cs="Calibri"/>
          <w:sz w:val="24"/>
          <w:szCs w:val="24"/>
        </w:rPr>
      </w:pPr>
      <w:r w:rsidRPr="00DE2173">
        <w:rPr>
          <w:rFonts w:ascii="Calibri" w:hAnsi="Calibri" w:cs="Calibri"/>
          <w:sz w:val="24"/>
          <w:szCs w:val="24"/>
        </w:rPr>
        <w:t>Filmoznawstwo i media audiowizualne</w:t>
      </w:r>
      <w:r w:rsidR="00816F87" w:rsidRPr="00DE2173">
        <w:rPr>
          <w:rFonts w:ascii="Calibri" w:hAnsi="Calibri" w:cs="Calibri"/>
          <w:sz w:val="24"/>
          <w:szCs w:val="24"/>
        </w:rPr>
        <w:t>,</w:t>
      </w:r>
    </w:p>
    <w:p w14:paraId="6C9FB182" w14:textId="77777777" w:rsidR="007839FB" w:rsidRPr="00DE2173" w:rsidRDefault="007839FB" w:rsidP="00DE2173">
      <w:pPr>
        <w:pStyle w:val="Akapitzlist"/>
        <w:numPr>
          <w:ilvl w:val="0"/>
          <w:numId w:val="1"/>
        </w:numPr>
        <w:spacing w:after="40" w:line="276" w:lineRule="auto"/>
        <w:ind w:left="414" w:hanging="357"/>
        <w:contextualSpacing w:val="0"/>
        <w:rPr>
          <w:rFonts w:ascii="Calibri" w:hAnsi="Calibri" w:cs="Calibri"/>
          <w:sz w:val="24"/>
          <w:szCs w:val="24"/>
        </w:rPr>
      </w:pPr>
      <w:r w:rsidRPr="00DE2173">
        <w:rPr>
          <w:rFonts w:ascii="Calibri" w:hAnsi="Calibri" w:cs="Calibri"/>
          <w:sz w:val="24"/>
          <w:szCs w:val="24"/>
        </w:rPr>
        <w:t>Filozofia człowieka, teorie osoby, filozofia kultury, filozofia społeczna</w:t>
      </w:r>
      <w:r w:rsidR="00816F87" w:rsidRPr="00DE2173">
        <w:rPr>
          <w:rFonts w:ascii="Calibri" w:hAnsi="Calibri" w:cs="Calibri"/>
          <w:sz w:val="24"/>
          <w:szCs w:val="24"/>
        </w:rPr>
        <w:t>,</w:t>
      </w:r>
    </w:p>
    <w:p w14:paraId="4569B6BF" w14:textId="77777777" w:rsidR="007839FB" w:rsidRPr="00DE2173" w:rsidRDefault="007839FB" w:rsidP="00DE2173">
      <w:pPr>
        <w:pStyle w:val="Akapitzlist"/>
        <w:numPr>
          <w:ilvl w:val="0"/>
          <w:numId w:val="1"/>
        </w:numPr>
        <w:spacing w:after="40" w:line="276" w:lineRule="auto"/>
        <w:ind w:left="414" w:hanging="357"/>
        <w:contextualSpacing w:val="0"/>
        <w:rPr>
          <w:rFonts w:ascii="Calibri" w:hAnsi="Calibri" w:cs="Calibri"/>
          <w:sz w:val="24"/>
          <w:szCs w:val="24"/>
        </w:rPr>
      </w:pPr>
      <w:r w:rsidRPr="00DE2173">
        <w:rPr>
          <w:rFonts w:ascii="Calibri" w:hAnsi="Calibri" w:cs="Calibri"/>
          <w:sz w:val="24"/>
          <w:szCs w:val="24"/>
        </w:rPr>
        <w:t xml:space="preserve">Historia epok dawnych (starożytna, średniowieczna, </w:t>
      </w:r>
      <w:proofErr w:type="spellStart"/>
      <w:r w:rsidRPr="00DE2173">
        <w:rPr>
          <w:rFonts w:ascii="Calibri" w:hAnsi="Calibri" w:cs="Calibri"/>
          <w:sz w:val="24"/>
          <w:szCs w:val="24"/>
        </w:rPr>
        <w:t>wczesnonowożytna</w:t>
      </w:r>
      <w:proofErr w:type="spellEnd"/>
      <w:r w:rsidRPr="00DE2173">
        <w:rPr>
          <w:rFonts w:ascii="Calibri" w:hAnsi="Calibri" w:cs="Calibri"/>
          <w:sz w:val="24"/>
          <w:szCs w:val="24"/>
        </w:rPr>
        <w:t>), historia nowożytna i najnowsza</w:t>
      </w:r>
      <w:r w:rsidR="00816F87" w:rsidRPr="00DE2173">
        <w:rPr>
          <w:rFonts w:ascii="Calibri" w:hAnsi="Calibri" w:cs="Calibri"/>
          <w:sz w:val="24"/>
          <w:szCs w:val="24"/>
        </w:rPr>
        <w:t>,</w:t>
      </w:r>
    </w:p>
    <w:p w14:paraId="0394943C" w14:textId="77777777" w:rsidR="007839FB" w:rsidRPr="00DE2173" w:rsidRDefault="007839FB" w:rsidP="00DE2173">
      <w:pPr>
        <w:pStyle w:val="Akapitzlist"/>
        <w:numPr>
          <w:ilvl w:val="0"/>
          <w:numId w:val="1"/>
        </w:numPr>
        <w:spacing w:after="40" w:line="276" w:lineRule="auto"/>
        <w:ind w:left="414" w:hanging="357"/>
        <w:contextualSpacing w:val="0"/>
        <w:rPr>
          <w:rFonts w:ascii="Calibri" w:hAnsi="Calibri" w:cs="Calibri"/>
          <w:sz w:val="24"/>
          <w:szCs w:val="24"/>
        </w:rPr>
      </w:pPr>
      <w:r w:rsidRPr="00DE2173">
        <w:rPr>
          <w:rFonts w:ascii="Calibri" w:hAnsi="Calibri" w:cs="Calibri"/>
          <w:sz w:val="24"/>
          <w:szCs w:val="24"/>
        </w:rPr>
        <w:t>Historia filozofii i historia idei</w:t>
      </w:r>
      <w:r w:rsidR="00816F87" w:rsidRPr="00DE2173">
        <w:rPr>
          <w:rFonts w:ascii="Calibri" w:hAnsi="Calibri" w:cs="Calibri"/>
          <w:sz w:val="24"/>
          <w:szCs w:val="24"/>
        </w:rPr>
        <w:t>,</w:t>
      </w:r>
    </w:p>
    <w:p w14:paraId="760762EA" w14:textId="77777777" w:rsidR="007839FB" w:rsidRPr="00DE2173" w:rsidRDefault="007839FB" w:rsidP="00DE2173">
      <w:pPr>
        <w:pStyle w:val="Akapitzlist"/>
        <w:numPr>
          <w:ilvl w:val="0"/>
          <w:numId w:val="1"/>
        </w:numPr>
        <w:spacing w:after="40" w:line="276" w:lineRule="auto"/>
        <w:ind w:left="414" w:hanging="357"/>
        <w:contextualSpacing w:val="0"/>
        <w:rPr>
          <w:rFonts w:ascii="Calibri" w:hAnsi="Calibri" w:cs="Calibri"/>
          <w:sz w:val="24"/>
          <w:szCs w:val="24"/>
        </w:rPr>
      </w:pPr>
      <w:r w:rsidRPr="00DE2173">
        <w:rPr>
          <w:rFonts w:ascii="Calibri" w:hAnsi="Calibri" w:cs="Calibri"/>
          <w:sz w:val="24"/>
          <w:szCs w:val="24"/>
        </w:rPr>
        <w:t>Historia i teoria sztuki, historia architektury, sztuki plastyczne, kultura wizualna</w:t>
      </w:r>
      <w:r w:rsidR="00816F87" w:rsidRPr="00DE2173">
        <w:rPr>
          <w:rFonts w:ascii="Calibri" w:hAnsi="Calibri" w:cs="Calibri"/>
          <w:sz w:val="24"/>
          <w:szCs w:val="24"/>
        </w:rPr>
        <w:t>,</w:t>
      </w:r>
    </w:p>
    <w:p w14:paraId="146A8FCA" w14:textId="77777777" w:rsidR="007839FB" w:rsidRPr="00DE2173" w:rsidRDefault="007839FB" w:rsidP="00DE2173">
      <w:pPr>
        <w:pStyle w:val="Akapitzlist"/>
        <w:numPr>
          <w:ilvl w:val="0"/>
          <w:numId w:val="1"/>
        </w:numPr>
        <w:spacing w:after="40" w:line="276" w:lineRule="auto"/>
        <w:ind w:left="414" w:hanging="357"/>
        <w:contextualSpacing w:val="0"/>
        <w:rPr>
          <w:rFonts w:ascii="Calibri" w:hAnsi="Calibri" w:cs="Calibri"/>
          <w:sz w:val="24"/>
          <w:szCs w:val="24"/>
        </w:rPr>
      </w:pPr>
      <w:r w:rsidRPr="00DE2173">
        <w:rPr>
          <w:rFonts w:ascii="Calibri" w:hAnsi="Calibri" w:cs="Calibri"/>
          <w:sz w:val="24"/>
          <w:szCs w:val="24"/>
        </w:rPr>
        <w:t>Historia kultury (w tym: pamięć historyczna, historia kultury materialnej, historyczne studia kulturowe, zróżnicowanie kulturowe)</w:t>
      </w:r>
      <w:r w:rsidR="00816F87" w:rsidRPr="00DE2173">
        <w:rPr>
          <w:rFonts w:ascii="Calibri" w:hAnsi="Calibri" w:cs="Calibri"/>
          <w:sz w:val="24"/>
          <w:szCs w:val="24"/>
        </w:rPr>
        <w:t>,</w:t>
      </w:r>
    </w:p>
    <w:p w14:paraId="571AF7B2" w14:textId="77777777" w:rsidR="007839FB" w:rsidRPr="00DE2173" w:rsidRDefault="007839FB" w:rsidP="00DE2173">
      <w:pPr>
        <w:pStyle w:val="Akapitzlist"/>
        <w:numPr>
          <w:ilvl w:val="0"/>
          <w:numId w:val="1"/>
        </w:numPr>
        <w:spacing w:after="40" w:line="276" w:lineRule="auto"/>
        <w:ind w:left="414" w:hanging="357"/>
        <w:contextualSpacing w:val="0"/>
        <w:rPr>
          <w:rFonts w:ascii="Calibri" w:hAnsi="Calibri" w:cs="Calibri"/>
          <w:sz w:val="24"/>
          <w:szCs w:val="24"/>
        </w:rPr>
      </w:pPr>
      <w:r w:rsidRPr="00DE2173">
        <w:rPr>
          <w:rFonts w:ascii="Calibri" w:hAnsi="Calibri" w:cs="Calibri"/>
          <w:sz w:val="24"/>
          <w:szCs w:val="24"/>
        </w:rPr>
        <w:t>Historia literatury światowej i narodowej; krytyka i interpretacja literacka</w:t>
      </w:r>
      <w:r w:rsidR="00816F87" w:rsidRPr="00DE2173">
        <w:rPr>
          <w:rFonts w:ascii="Calibri" w:hAnsi="Calibri" w:cs="Calibri"/>
          <w:sz w:val="24"/>
          <w:szCs w:val="24"/>
        </w:rPr>
        <w:t>,</w:t>
      </w:r>
    </w:p>
    <w:p w14:paraId="409D5429" w14:textId="77777777" w:rsidR="007839FB" w:rsidRPr="00DE2173" w:rsidRDefault="007839FB" w:rsidP="00DE2173">
      <w:pPr>
        <w:pStyle w:val="Akapitzlist"/>
        <w:numPr>
          <w:ilvl w:val="0"/>
          <w:numId w:val="1"/>
        </w:numPr>
        <w:spacing w:after="40" w:line="276" w:lineRule="auto"/>
        <w:ind w:left="414" w:hanging="357"/>
        <w:contextualSpacing w:val="0"/>
        <w:rPr>
          <w:rFonts w:ascii="Calibri" w:hAnsi="Calibri" w:cs="Calibri"/>
          <w:sz w:val="24"/>
          <w:szCs w:val="24"/>
        </w:rPr>
      </w:pPr>
      <w:r w:rsidRPr="00DE2173">
        <w:rPr>
          <w:rFonts w:ascii="Calibri" w:hAnsi="Calibri" w:cs="Calibri"/>
          <w:sz w:val="24"/>
          <w:szCs w:val="24"/>
        </w:rPr>
        <w:t>Historia społeczna</w:t>
      </w:r>
      <w:r w:rsidR="00816F87" w:rsidRPr="00DE2173">
        <w:rPr>
          <w:rFonts w:ascii="Calibri" w:hAnsi="Calibri" w:cs="Calibri"/>
          <w:sz w:val="24"/>
          <w:szCs w:val="24"/>
        </w:rPr>
        <w:t>,</w:t>
      </w:r>
    </w:p>
    <w:p w14:paraId="6EB28355" w14:textId="1C283E16" w:rsidR="007839FB" w:rsidRPr="00DE2173" w:rsidRDefault="007839FB" w:rsidP="00DE2173">
      <w:pPr>
        <w:pStyle w:val="Akapitzlist"/>
        <w:numPr>
          <w:ilvl w:val="0"/>
          <w:numId w:val="1"/>
        </w:numPr>
        <w:spacing w:after="40" w:line="276" w:lineRule="auto"/>
        <w:ind w:left="414" w:hanging="357"/>
        <w:contextualSpacing w:val="0"/>
        <w:rPr>
          <w:rFonts w:ascii="Calibri" w:hAnsi="Calibri" w:cs="Calibri"/>
          <w:sz w:val="24"/>
          <w:szCs w:val="24"/>
        </w:rPr>
      </w:pPr>
      <w:r w:rsidRPr="00DE2173">
        <w:rPr>
          <w:rFonts w:ascii="Calibri" w:hAnsi="Calibri" w:cs="Calibri"/>
          <w:sz w:val="24"/>
          <w:szCs w:val="24"/>
        </w:rPr>
        <w:t>Językoznawstwo historyczne, porównawcze, typologiczne i współczesne</w:t>
      </w:r>
      <w:r w:rsidR="000257C7" w:rsidRPr="00DE2173">
        <w:rPr>
          <w:rFonts w:ascii="Calibri" w:hAnsi="Calibri" w:cs="Calibri"/>
          <w:sz w:val="24"/>
          <w:szCs w:val="24"/>
        </w:rPr>
        <w:t>,</w:t>
      </w:r>
      <w:r w:rsidRPr="00DE2173">
        <w:rPr>
          <w:rFonts w:ascii="Calibri" w:hAnsi="Calibri" w:cs="Calibri"/>
          <w:sz w:val="24"/>
          <w:szCs w:val="24"/>
        </w:rPr>
        <w:t xml:space="preserve"> nauka o tekście i gatunkach mowy</w:t>
      </w:r>
      <w:r w:rsidR="00816F87" w:rsidRPr="00DE2173">
        <w:rPr>
          <w:rFonts w:ascii="Calibri" w:hAnsi="Calibri" w:cs="Calibri"/>
          <w:sz w:val="24"/>
          <w:szCs w:val="24"/>
        </w:rPr>
        <w:t>,</w:t>
      </w:r>
    </w:p>
    <w:p w14:paraId="516536EF" w14:textId="77777777" w:rsidR="007839FB" w:rsidRPr="00DE2173" w:rsidRDefault="007839FB" w:rsidP="00DE2173">
      <w:pPr>
        <w:pStyle w:val="Akapitzlist"/>
        <w:numPr>
          <w:ilvl w:val="0"/>
          <w:numId w:val="1"/>
        </w:numPr>
        <w:spacing w:after="40" w:line="276" w:lineRule="auto"/>
        <w:ind w:left="414" w:hanging="357"/>
        <w:contextualSpacing w:val="0"/>
        <w:rPr>
          <w:rFonts w:ascii="Calibri" w:hAnsi="Calibri" w:cs="Calibri"/>
          <w:sz w:val="24"/>
          <w:szCs w:val="24"/>
        </w:rPr>
      </w:pPr>
      <w:r w:rsidRPr="00DE2173">
        <w:rPr>
          <w:rFonts w:ascii="Calibri" w:hAnsi="Calibri" w:cs="Calibri"/>
          <w:sz w:val="24"/>
          <w:szCs w:val="24"/>
        </w:rPr>
        <w:t>Językoznawstwo ogólne, teoria i metodologia badań językoznawczych</w:t>
      </w:r>
      <w:r w:rsidR="00816F87" w:rsidRPr="00DE2173">
        <w:rPr>
          <w:rFonts w:ascii="Calibri" w:hAnsi="Calibri" w:cs="Calibri"/>
          <w:sz w:val="24"/>
          <w:szCs w:val="24"/>
        </w:rPr>
        <w:t>,</w:t>
      </w:r>
    </w:p>
    <w:p w14:paraId="32F94DC2" w14:textId="77777777" w:rsidR="007839FB" w:rsidRPr="00DE2173" w:rsidRDefault="007839FB" w:rsidP="00DE2173">
      <w:pPr>
        <w:pStyle w:val="Akapitzlist"/>
        <w:numPr>
          <w:ilvl w:val="0"/>
          <w:numId w:val="1"/>
        </w:numPr>
        <w:spacing w:after="40" w:line="276" w:lineRule="auto"/>
        <w:ind w:left="414" w:hanging="357"/>
        <w:contextualSpacing w:val="0"/>
        <w:rPr>
          <w:rFonts w:ascii="Calibri" w:hAnsi="Calibri" w:cs="Calibri"/>
          <w:sz w:val="24"/>
          <w:szCs w:val="24"/>
        </w:rPr>
      </w:pPr>
      <w:r w:rsidRPr="00DE2173">
        <w:rPr>
          <w:rFonts w:ascii="Calibri" w:hAnsi="Calibri" w:cs="Calibri"/>
          <w:sz w:val="24"/>
          <w:szCs w:val="24"/>
        </w:rPr>
        <w:t>Kulturoznawstwo (w tym: współczesne studia kulturowe i antropologiczno-kulturowe)</w:t>
      </w:r>
      <w:r w:rsidR="00816F87" w:rsidRPr="00DE2173">
        <w:rPr>
          <w:rFonts w:ascii="Calibri" w:hAnsi="Calibri" w:cs="Calibri"/>
          <w:sz w:val="24"/>
          <w:szCs w:val="24"/>
        </w:rPr>
        <w:t>,</w:t>
      </w:r>
    </w:p>
    <w:p w14:paraId="2128EAA3" w14:textId="77777777" w:rsidR="007839FB" w:rsidRPr="00DE2173" w:rsidRDefault="007839FB" w:rsidP="00DE2173">
      <w:pPr>
        <w:pStyle w:val="Akapitzlist"/>
        <w:numPr>
          <w:ilvl w:val="0"/>
          <w:numId w:val="1"/>
        </w:numPr>
        <w:spacing w:after="40" w:line="276" w:lineRule="auto"/>
        <w:ind w:left="414" w:hanging="357"/>
        <w:contextualSpacing w:val="0"/>
        <w:rPr>
          <w:rFonts w:ascii="Calibri" w:hAnsi="Calibri" w:cs="Calibri"/>
          <w:sz w:val="24"/>
          <w:szCs w:val="24"/>
        </w:rPr>
      </w:pPr>
      <w:r w:rsidRPr="00DE2173">
        <w:rPr>
          <w:rFonts w:ascii="Calibri" w:hAnsi="Calibri" w:cs="Calibri"/>
          <w:sz w:val="24"/>
          <w:szCs w:val="24"/>
        </w:rPr>
        <w:t>Muzyka, muzykologia</w:t>
      </w:r>
      <w:r w:rsidR="00816F87" w:rsidRPr="00DE2173">
        <w:rPr>
          <w:rFonts w:ascii="Calibri" w:hAnsi="Calibri" w:cs="Calibri"/>
          <w:sz w:val="24"/>
          <w:szCs w:val="24"/>
        </w:rPr>
        <w:t>,</w:t>
      </w:r>
    </w:p>
    <w:p w14:paraId="39BE3CEB" w14:textId="77777777" w:rsidR="007839FB" w:rsidRPr="00DE2173" w:rsidRDefault="007839FB" w:rsidP="00DE2173">
      <w:pPr>
        <w:pStyle w:val="Akapitzlist"/>
        <w:numPr>
          <w:ilvl w:val="0"/>
          <w:numId w:val="1"/>
        </w:numPr>
        <w:spacing w:after="40" w:line="276" w:lineRule="auto"/>
        <w:ind w:left="414" w:hanging="357"/>
        <w:contextualSpacing w:val="0"/>
        <w:rPr>
          <w:rFonts w:ascii="Calibri" w:hAnsi="Calibri" w:cs="Calibri"/>
          <w:sz w:val="24"/>
          <w:szCs w:val="24"/>
        </w:rPr>
      </w:pPr>
      <w:r w:rsidRPr="00DE2173">
        <w:rPr>
          <w:rFonts w:ascii="Calibri" w:hAnsi="Calibri" w:cs="Calibri"/>
          <w:sz w:val="24"/>
          <w:szCs w:val="24"/>
        </w:rPr>
        <w:t>Muzealnictwo</w:t>
      </w:r>
      <w:r w:rsidR="00816F87" w:rsidRPr="00DE2173">
        <w:rPr>
          <w:rFonts w:ascii="Calibri" w:hAnsi="Calibri" w:cs="Calibri"/>
          <w:sz w:val="24"/>
          <w:szCs w:val="24"/>
        </w:rPr>
        <w:t>,</w:t>
      </w:r>
    </w:p>
    <w:p w14:paraId="5233C4B5" w14:textId="77777777" w:rsidR="007839FB" w:rsidRPr="00DE2173" w:rsidRDefault="007839FB" w:rsidP="00DE2173">
      <w:pPr>
        <w:pStyle w:val="Akapitzlist"/>
        <w:numPr>
          <w:ilvl w:val="0"/>
          <w:numId w:val="1"/>
        </w:numPr>
        <w:spacing w:after="40" w:line="276" w:lineRule="auto"/>
        <w:ind w:left="414" w:hanging="357"/>
        <w:contextualSpacing w:val="0"/>
        <w:rPr>
          <w:rFonts w:ascii="Calibri" w:hAnsi="Calibri" w:cs="Calibri"/>
          <w:sz w:val="24"/>
          <w:szCs w:val="24"/>
        </w:rPr>
      </w:pPr>
      <w:r w:rsidRPr="00DE2173">
        <w:rPr>
          <w:rFonts w:ascii="Calibri" w:hAnsi="Calibri" w:cs="Calibri"/>
          <w:sz w:val="24"/>
          <w:szCs w:val="24"/>
        </w:rPr>
        <w:t>Nauka o komunikacji i komunikowaniu, podstawy teoretyczne językoznawstwa stosowanego</w:t>
      </w:r>
      <w:r w:rsidR="00816F87" w:rsidRPr="00DE2173">
        <w:rPr>
          <w:rFonts w:ascii="Calibri" w:hAnsi="Calibri" w:cs="Calibri"/>
          <w:sz w:val="24"/>
          <w:szCs w:val="24"/>
        </w:rPr>
        <w:t>,</w:t>
      </w:r>
    </w:p>
    <w:p w14:paraId="270E3C95" w14:textId="77777777" w:rsidR="007839FB" w:rsidRPr="00DE2173" w:rsidRDefault="007839FB" w:rsidP="00DE2173">
      <w:pPr>
        <w:pStyle w:val="Akapitzlist"/>
        <w:numPr>
          <w:ilvl w:val="0"/>
          <w:numId w:val="1"/>
        </w:numPr>
        <w:spacing w:after="40" w:line="276" w:lineRule="auto"/>
        <w:ind w:left="414" w:hanging="357"/>
        <w:contextualSpacing w:val="0"/>
        <w:rPr>
          <w:rFonts w:ascii="Calibri" w:hAnsi="Calibri" w:cs="Calibri"/>
          <w:sz w:val="24"/>
          <w:szCs w:val="24"/>
        </w:rPr>
      </w:pPr>
      <w:r w:rsidRPr="00DE2173">
        <w:rPr>
          <w:rFonts w:ascii="Calibri" w:hAnsi="Calibri" w:cs="Calibri"/>
          <w:sz w:val="24"/>
          <w:szCs w:val="24"/>
        </w:rPr>
        <w:t xml:space="preserve">Religia i jej uwarunkowania: antropologiczne, kulturowe, </w:t>
      </w:r>
      <w:proofErr w:type="spellStart"/>
      <w:r w:rsidRPr="00DE2173">
        <w:rPr>
          <w:rFonts w:ascii="Calibri" w:hAnsi="Calibri" w:cs="Calibri"/>
          <w:sz w:val="24"/>
          <w:szCs w:val="24"/>
        </w:rPr>
        <w:t>socjo</w:t>
      </w:r>
      <w:proofErr w:type="spellEnd"/>
      <w:r w:rsidRPr="00DE2173">
        <w:rPr>
          <w:rFonts w:ascii="Calibri" w:hAnsi="Calibri" w:cs="Calibri"/>
          <w:sz w:val="24"/>
          <w:szCs w:val="24"/>
        </w:rPr>
        <w:t>-psychologiczne</w:t>
      </w:r>
      <w:r w:rsidR="00816F87" w:rsidRPr="00DE2173">
        <w:rPr>
          <w:rFonts w:ascii="Calibri" w:hAnsi="Calibri" w:cs="Calibri"/>
          <w:sz w:val="24"/>
          <w:szCs w:val="24"/>
        </w:rPr>
        <w:t>,</w:t>
      </w:r>
    </w:p>
    <w:p w14:paraId="6836D806" w14:textId="77777777" w:rsidR="007839FB" w:rsidRPr="00DE2173" w:rsidRDefault="007839FB" w:rsidP="00DE2173">
      <w:pPr>
        <w:pStyle w:val="Akapitzlist"/>
        <w:numPr>
          <w:ilvl w:val="0"/>
          <w:numId w:val="1"/>
        </w:numPr>
        <w:spacing w:after="40" w:line="276" w:lineRule="auto"/>
        <w:ind w:left="414" w:hanging="357"/>
        <w:contextualSpacing w:val="0"/>
        <w:rPr>
          <w:rFonts w:ascii="Calibri" w:hAnsi="Calibri" w:cs="Calibri"/>
          <w:sz w:val="24"/>
          <w:szCs w:val="24"/>
        </w:rPr>
      </w:pPr>
      <w:r w:rsidRPr="00DE2173">
        <w:rPr>
          <w:rFonts w:ascii="Calibri" w:hAnsi="Calibri" w:cs="Calibri"/>
          <w:sz w:val="24"/>
          <w:szCs w:val="24"/>
        </w:rPr>
        <w:t>Religie świata</w:t>
      </w:r>
      <w:r w:rsidR="00816F87" w:rsidRPr="00DE2173">
        <w:rPr>
          <w:rFonts w:ascii="Calibri" w:hAnsi="Calibri" w:cs="Calibri"/>
          <w:sz w:val="24"/>
          <w:szCs w:val="24"/>
        </w:rPr>
        <w:t>,</w:t>
      </w:r>
    </w:p>
    <w:p w14:paraId="1B0A4B5A" w14:textId="77777777" w:rsidR="007839FB" w:rsidRPr="00DE2173" w:rsidRDefault="007839FB" w:rsidP="00DE2173">
      <w:pPr>
        <w:pStyle w:val="Akapitzlist"/>
        <w:numPr>
          <w:ilvl w:val="0"/>
          <w:numId w:val="1"/>
        </w:numPr>
        <w:spacing w:after="40" w:line="276" w:lineRule="auto"/>
        <w:ind w:left="414" w:hanging="357"/>
        <w:contextualSpacing w:val="0"/>
        <w:rPr>
          <w:rFonts w:ascii="Calibri" w:hAnsi="Calibri" w:cs="Calibri"/>
          <w:sz w:val="24"/>
          <w:szCs w:val="24"/>
        </w:rPr>
      </w:pPr>
      <w:r w:rsidRPr="00DE2173">
        <w:rPr>
          <w:rFonts w:ascii="Calibri" w:hAnsi="Calibri" w:cs="Calibri"/>
          <w:sz w:val="24"/>
          <w:szCs w:val="24"/>
        </w:rPr>
        <w:t xml:space="preserve">Teatrologia i sztuki </w:t>
      </w:r>
      <w:proofErr w:type="spellStart"/>
      <w:r w:rsidRPr="00DE2173">
        <w:rPr>
          <w:rFonts w:ascii="Calibri" w:hAnsi="Calibri" w:cs="Calibri"/>
          <w:sz w:val="24"/>
          <w:szCs w:val="24"/>
        </w:rPr>
        <w:t>performatywne</w:t>
      </w:r>
      <w:proofErr w:type="spellEnd"/>
      <w:r w:rsidRPr="00DE2173">
        <w:rPr>
          <w:rFonts w:ascii="Calibri" w:hAnsi="Calibri" w:cs="Calibri"/>
          <w:sz w:val="24"/>
          <w:szCs w:val="24"/>
        </w:rPr>
        <w:t>,</w:t>
      </w:r>
    </w:p>
    <w:p w14:paraId="74F9881F" w14:textId="77777777" w:rsidR="007839FB" w:rsidRPr="00DE2173" w:rsidRDefault="007839FB" w:rsidP="00DE2173">
      <w:pPr>
        <w:pStyle w:val="Akapitzlist"/>
        <w:numPr>
          <w:ilvl w:val="0"/>
          <w:numId w:val="1"/>
        </w:numPr>
        <w:spacing w:after="40" w:line="276" w:lineRule="auto"/>
        <w:ind w:left="414" w:hanging="357"/>
        <w:contextualSpacing w:val="0"/>
        <w:rPr>
          <w:rFonts w:ascii="Calibri" w:hAnsi="Calibri" w:cs="Calibri"/>
          <w:sz w:val="24"/>
          <w:szCs w:val="24"/>
        </w:rPr>
      </w:pPr>
      <w:r w:rsidRPr="00DE2173">
        <w:rPr>
          <w:rFonts w:ascii="Calibri" w:hAnsi="Calibri" w:cs="Calibri"/>
          <w:sz w:val="24"/>
          <w:szCs w:val="24"/>
        </w:rPr>
        <w:t>Teoria literatury, historia myśli literaturoznawczej, metody i kierunki badań literacko-kulturowych, antropologia literatury, komparatystyka i translatoryka literacko-kulturowa</w:t>
      </w:r>
      <w:r w:rsidR="00816F87" w:rsidRPr="00DE2173">
        <w:rPr>
          <w:rFonts w:ascii="Calibri" w:hAnsi="Calibri" w:cs="Calibri"/>
          <w:sz w:val="24"/>
          <w:szCs w:val="24"/>
        </w:rPr>
        <w:t>,</w:t>
      </w:r>
    </w:p>
    <w:p w14:paraId="23E7F198" w14:textId="77777777" w:rsidR="007839FB" w:rsidRPr="00DE2173" w:rsidRDefault="007839FB" w:rsidP="00DE2173">
      <w:pPr>
        <w:pStyle w:val="Akapitzlist"/>
        <w:numPr>
          <w:ilvl w:val="0"/>
          <w:numId w:val="1"/>
        </w:numPr>
        <w:spacing w:after="40" w:line="276" w:lineRule="auto"/>
        <w:ind w:left="414" w:hanging="357"/>
        <w:contextualSpacing w:val="0"/>
        <w:rPr>
          <w:rFonts w:ascii="Calibri" w:hAnsi="Calibri" w:cs="Calibri"/>
          <w:sz w:val="24"/>
          <w:szCs w:val="24"/>
        </w:rPr>
      </w:pPr>
      <w:r w:rsidRPr="00DE2173">
        <w:rPr>
          <w:rFonts w:ascii="Calibri" w:hAnsi="Calibri" w:cs="Calibri"/>
          <w:sz w:val="24"/>
          <w:szCs w:val="24"/>
        </w:rPr>
        <w:t xml:space="preserve">Teorie religii, historia religii, nauki religioznawcze. </w:t>
      </w:r>
    </w:p>
    <w:sectPr w:rsidR="007839FB" w:rsidRPr="00DE2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AC352" w14:textId="77777777" w:rsidR="00BB1EA5" w:rsidRDefault="00BB1EA5" w:rsidP="001920D9">
      <w:pPr>
        <w:spacing w:after="0" w:line="240" w:lineRule="auto"/>
      </w:pPr>
      <w:r>
        <w:separator/>
      </w:r>
    </w:p>
  </w:endnote>
  <w:endnote w:type="continuationSeparator" w:id="0">
    <w:p w14:paraId="60A5BABC" w14:textId="77777777" w:rsidR="00BB1EA5" w:rsidRDefault="00BB1EA5" w:rsidP="00192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659E7" w14:textId="77777777" w:rsidR="00BB1EA5" w:rsidRDefault="00BB1EA5" w:rsidP="001920D9">
      <w:pPr>
        <w:spacing w:after="0" w:line="240" w:lineRule="auto"/>
      </w:pPr>
      <w:r>
        <w:separator/>
      </w:r>
    </w:p>
  </w:footnote>
  <w:footnote w:type="continuationSeparator" w:id="0">
    <w:p w14:paraId="006630E4" w14:textId="77777777" w:rsidR="00BB1EA5" w:rsidRDefault="00BB1EA5" w:rsidP="00192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C71C4"/>
    <w:multiLevelType w:val="hybridMultilevel"/>
    <w:tmpl w:val="788638E6"/>
    <w:lvl w:ilvl="0" w:tplc="CAD84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FB"/>
    <w:rsid w:val="000257C7"/>
    <w:rsid w:val="00035252"/>
    <w:rsid w:val="000C5F61"/>
    <w:rsid w:val="001920D9"/>
    <w:rsid w:val="003108D1"/>
    <w:rsid w:val="0035467E"/>
    <w:rsid w:val="003923D0"/>
    <w:rsid w:val="003C7406"/>
    <w:rsid w:val="004717E6"/>
    <w:rsid w:val="004A41E0"/>
    <w:rsid w:val="004B2DD9"/>
    <w:rsid w:val="004C0A48"/>
    <w:rsid w:val="00573627"/>
    <w:rsid w:val="0059116A"/>
    <w:rsid w:val="006245B9"/>
    <w:rsid w:val="00701085"/>
    <w:rsid w:val="007647E1"/>
    <w:rsid w:val="007839FB"/>
    <w:rsid w:val="00816F87"/>
    <w:rsid w:val="008D4D3F"/>
    <w:rsid w:val="0095737D"/>
    <w:rsid w:val="00966EDF"/>
    <w:rsid w:val="00AF27B3"/>
    <w:rsid w:val="00B9561D"/>
    <w:rsid w:val="00BB1EA5"/>
    <w:rsid w:val="00BF2FD4"/>
    <w:rsid w:val="00DE2173"/>
    <w:rsid w:val="00E9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5F47"/>
  <w15:chartTrackingRefBased/>
  <w15:docId w15:val="{919FCACE-78AD-4AC8-94EB-D1E548EF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2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0D9"/>
  </w:style>
  <w:style w:type="paragraph" w:styleId="Stopka">
    <w:name w:val="footer"/>
    <w:basedOn w:val="Normalny"/>
    <w:link w:val="StopkaZnak"/>
    <w:uiPriority w:val="99"/>
    <w:unhideWhenUsed/>
    <w:rsid w:val="00192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0D9"/>
  </w:style>
  <w:style w:type="character" w:styleId="Numerstrony">
    <w:name w:val="page number"/>
    <w:basedOn w:val="Domylnaczcionkaakapitu"/>
    <w:unhideWhenUsed/>
    <w:rsid w:val="00701085"/>
  </w:style>
  <w:style w:type="paragraph" w:styleId="Akapitzlist">
    <w:name w:val="List Paragraph"/>
    <w:basedOn w:val="Normalny"/>
    <w:uiPriority w:val="34"/>
    <w:qFormat/>
    <w:rsid w:val="00957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0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Natallia Pamuła</dc:creator>
  <cp:keywords/>
  <dc:description/>
  <cp:lastModifiedBy>Góral Beata</cp:lastModifiedBy>
  <cp:revision>19</cp:revision>
  <cp:lastPrinted>2019-03-18T12:47:00Z</cp:lastPrinted>
  <dcterms:created xsi:type="dcterms:W3CDTF">2019-01-29T10:16:00Z</dcterms:created>
  <dcterms:modified xsi:type="dcterms:W3CDTF">2021-03-07T21:14:00Z</dcterms:modified>
</cp:coreProperties>
</file>