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sz w:val="23"/>
          <w:szCs w:val="23"/>
        </w:rPr>
        <w:id w:val="-1988774087"/>
        <w:docPartObj>
          <w:docPartGallery w:val="Cover Pages"/>
          <w:docPartUnique/>
        </w:docPartObj>
      </w:sdtPr>
      <w:sdtEndPr>
        <w:rPr>
          <w:color w:val="auto"/>
          <w:sz w:val="22"/>
        </w:rPr>
      </w:sdtEndPr>
      <w:sdtContent>
        <w:p w:rsidR="00684019" w:rsidRPr="0047375F" w:rsidRDefault="00684019" w:rsidP="008F0FDA">
          <w:pPr>
            <w:pStyle w:val="Default"/>
            <w:jc w:val="right"/>
            <w:rPr>
              <w:rFonts w:asciiTheme="minorHAnsi" w:eastAsia="Franklin Gothic Medium" w:hAnsiTheme="minorHAnsi" w:cstheme="minorHAnsi"/>
            </w:rPr>
          </w:pPr>
          <w:r w:rsidRPr="0047375F">
            <w:rPr>
              <w:rFonts w:asciiTheme="minorHAnsi" w:eastAsia="Franklin Gothic Medium" w:hAnsiTheme="minorHAnsi" w:cstheme="minorHAnsi"/>
            </w:rPr>
            <w:t>Załącznik nr 2 do Szczegółowych Zasad</w:t>
          </w:r>
          <w:r w:rsidR="00911746" w:rsidRPr="0047375F">
            <w:rPr>
              <w:rFonts w:asciiTheme="minorHAnsi" w:eastAsia="Franklin Gothic Medium" w:hAnsiTheme="minorHAnsi" w:cstheme="minorHAnsi"/>
            </w:rPr>
            <w:t xml:space="preserve"> (…)</w:t>
          </w:r>
          <w:r w:rsidRPr="0047375F">
            <w:rPr>
              <w:rFonts w:asciiTheme="minorHAnsi" w:eastAsia="Franklin Gothic Medium" w:hAnsiTheme="minorHAnsi" w:cstheme="minorHAnsi"/>
            </w:rPr>
            <w:t>, Moduł B</w:t>
          </w:r>
          <w:r w:rsidR="00690BE6" w:rsidRPr="0047375F">
            <w:rPr>
              <w:rFonts w:asciiTheme="minorHAnsi" w:eastAsia="Franklin Gothic Medium" w:hAnsiTheme="minorHAnsi" w:cstheme="minorHAnsi"/>
            </w:rPr>
            <w:t xml:space="preserve"> </w:t>
          </w:r>
          <w:r w:rsidR="00540FD9" w:rsidRPr="0047375F">
            <w:rPr>
              <w:rFonts w:asciiTheme="minorHAnsi" w:eastAsia="Franklin Gothic Medium" w:hAnsiTheme="minorHAnsi" w:cstheme="minorHAnsi"/>
            </w:rPr>
            <w:t>- Badania aplikacyjne</w:t>
          </w: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color w:val="auto"/>
              <w:sz w:val="23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8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eastAsia="Franklin Gothic Medium" w:hAnsiTheme="minorHAnsi" w:cstheme="minorHAnsi"/>
              <w:sz w:val="28"/>
              <w:szCs w:val="28"/>
            </w:rPr>
          </w:pPr>
          <w:r w:rsidRPr="0047375F">
            <w:rPr>
              <w:rFonts w:asciiTheme="minorHAnsi" w:hAnsiTheme="minorHAnsi" w:cstheme="minorHAnsi"/>
              <w:b/>
              <w:sz w:val="28"/>
            </w:rPr>
            <w:t>Państwowy Fundusz Rehabilitacji Osób Niepełnosprawnych</w:t>
          </w:r>
        </w:p>
        <w:p w:rsidR="00684019" w:rsidRPr="0047375F" w:rsidRDefault="00684019" w:rsidP="008F0FDA">
          <w:pPr>
            <w:pStyle w:val="Default"/>
            <w:rPr>
              <w:rFonts w:asciiTheme="minorHAnsi" w:hAnsiTheme="minorHAnsi" w:cstheme="minorHAnsi"/>
              <w:b/>
              <w:sz w:val="40"/>
            </w:rPr>
          </w:pPr>
        </w:p>
        <w:p w:rsidR="00684019" w:rsidRPr="0047375F" w:rsidRDefault="00684019" w:rsidP="008F0FDA">
          <w:pPr>
            <w:pStyle w:val="Default"/>
            <w:rPr>
              <w:rFonts w:asciiTheme="minorHAnsi" w:hAnsiTheme="minorHAnsi" w:cstheme="minorHAnsi"/>
              <w:b/>
              <w:sz w:val="40"/>
            </w:rPr>
          </w:pPr>
        </w:p>
        <w:p w:rsidR="00684019" w:rsidRPr="0047375F" w:rsidRDefault="00684019" w:rsidP="008F0FDA">
          <w:pPr>
            <w:pStyle w:val="Default"/>
            <w:rPr>
              <w:rFonts w:asciiTheme="minorHAnsi" w:hAnsiTheme="minorHAnsi" w:cstheme="minorHAnsi"/>
              <w:b/>
              <w:sz w:val="40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eastAsia="Franklin Gothic Medium" w:hAnsiTheme="minorHAnsi" w:cstheme="minorHAnsi"/>
              <w:sz w:val="40"/>
              <w:szCs w:val="40"/>
            </w:rPr>
          </w:pPr>
          <w:r w:rsidRPr="0047375F">
            <w:rPr>
              <w:rFonts w:asciiTheme="minorHAnsi" w:hAnsiTheme="minorHAnsi" w:cstheme="minorHAnsi"/>
              <w:b/>
              <w:color w:val="auto"/>
              <w:sz w:val="40"/>
            </w:rPr>
            <w:t>PRZEWODNIK KWALIFIKOWALNOŚCI KOSZTÓW</w:t>
          </w: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8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eastAsia="Franklin Gothic Medium" w:hAnsiTheme="minorHAnsi" w:cstheme="minorHAnsi"/>
              <w:b/>
              <w:bCs/>
              <w:sz w:val="36"/>
              <w:szCs w:val="36"/>
            </w:rPr>
          </w:pPr>
          <w:r w:rsidRPr="0047375F">
            <w:rPr>
              <w:rFonts w:asciiTheme="minorHAnsi" w:hAnsiTheme="minorHAnsi" w:cstheme="minorHAnsi"/>
              <w:b/>
              <w:sz w:val="36"/>
            </w:rPr>
            <w:t xml:space="preserve">Moduł B - dofinansowania realizacji projektów </w:t>
          </w:r>
          <w:r w:rsidR="00540FD9" w:rsidRPr="0047375F">
            <w:rPr>
              <w:rFonts w:asciiTheme="minorHAnsi" w:hAnsiTheme="minorHAnsi" w:cstheme="minorHAnsi"/>
              <w:b/>
              <w:sz w:val="36"/>
            </w:rPr>
            <w:t>dotyczących badań aplikacyjnych</w:t>
          </w:r>
          <w:r w:rsidRPr="0047375F">
            <w:rPr>
              <w:rFonts w:asciiTheme="minorHAnsi" w:hAnsiTheme="minorHAnsi" w:cstheme="minorHAnsi"/>
              <w:b/>
              <w:sz w:val="36"/>
            </w:rPr>
            <w:t xml:space="preserve">: </w:t>
          </w: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40"/>
            </w:rPr>
          </w:pPr>
        </w:p>
        <w:p w:rsidR="00684019" w:rsidRPr="0047375F" w:rsidRDefault="00684019" w:rsidP="008F0FDA">
          <w:pPr>
            <w:pStyle w:val="Default"/>
            <w:jc w:val="right"/>
            <w:rPr>
              <w:rFonts w:asciiTheme="minorHAnsi" w:eastAsia="Franklin Gothic Medium" w:hAnsiTheme="minorHAnsi" w:cstheme="minorHAnsi"/>
              <w:b/>
              <w:bCs/>
              <w:i/>
              <w:sz w:val="28"/>
              <w:szCs w:val="28"/>
            </w:rPr>
          </w:pPr>
          <w:r w:rsidRPr="0047375F">
            <w:rPr>
              <w:rFonts w:asciiTheme="minorHAnsi" w:hAnsiTheme="minorHAnsi" w:cstheme="minorHAnsi"/>
              <w:b/>
              <w:i/>
              <w:sz w:val="28"/>
            </w:rPr>
            <w:t xml:space="preserve">- </w:t>
          </w:r>
          <w:r w:rsidR="00540FD9" w:rsidRPr="0047375F">
            <w:rPr>
              <w:rFonts w:asciiTheme="minorHAnsi" w:hAnsiTheme="minorHAnsi" w:cstheme="minorHAnsi"/>
              <w:b/>
              <w:i/>
              <w:sz w:val="28"/>
            </w:rPr>
            <w:t>uczelnie</w:t>
          </w:r>
          <w:r w:rsidRPr="0047375F">
            <w:rPr>
              <w:rFonts w:asciiTheme="minorHAnsi" w:hAnsiTheme="minorHAnsi" w:cstheme="minorHAnsi"/>
              <w:b/>
              <w:i/>
              <w:sz w:val="28"/>
            </w:rPr>
            <w:t xml:space="preserve">, </w:t>
          </w:r>
        </w:p>
        <w:p w:rsidR="00684019" w:rsidRPr="0047375F" w:rsidRDefault="00684019" w:rsidP="008F0FDA">
          <w:pPr>
            <w:pStyle w:val="Default"/>
            <w:jc w:val="right"/>
            <w:rPr>
              <w:rFonts w:asciiTheme="minorHAnsi" w:eastAsia="Franklin Gothic Medium" w:hAnsiTheme="minorHAnsi" w:cstheme="minorHAnsi"/>
              <w:b/>
              <w:bCs/>
              <w:i/>
              <w:sz w:val="28"/>
              <w:szCs w:val="28"/>
            </w:rPr>
          </w:pPr>
          <w:r w:rsidRPr="0047375F">
            <w:rPr>
              <w:rFonts w:asciiTheme="minorHAnsi" w:hAnsiTheme="minorHAnsi" w:cstheme="minorHAnsi"/>
              <w:b/>
              <w:i/>
              <w:sz w:val="28"/>
            </w:rPr>
            <w:t xml:space="preserve">- </w:t>
          </w:r>
          <w:r w:rsidR="00540FD9" w:rsidRPr="0047375F">
            <w:rPr>
              <w:rFonts w:asciiTheme="minorHAnsi" w:hAnsiTheme="minorHAnsi" w:cstheme="minorHAnsi"/>
              <w:b/>
              <w:i/>
              <w:sz w:val="28"/>
            </w:rPr>
            <w:t xml:space="preserve">jednostki naukowe </w:t>
          </w:r>
          <w:r w:rsidRPr="0047375F">
            <w:rPr>
              <w:rFonts w:asciiTheme="minorHAnsi" w:hAnsiTheme="minorHAnsi" w:cstheme="minorHAnsi"/>
              <w:b/>
              <w:i/>
              <w:sz w:val="28"/>
            </w:rPr>
            <w:t xml:space="preserve">Polskiej Akademii Nauk, </w:t>
          </w:r>
        </w:p>
        <w:p w:rsidR="00684019" w:rsidRPr="0047375F" w:rsidRDefault="00684019" w:rsidP="008F0FDA">
          <w:pPr>
            <w:pStyle w:val="Default"/>
            <w:jc w:val="right"/>
            <w:rPr>
              <w:rFonts w:asciiTheme="minorHAnsi" w:eastAsia="Franklin Gothic Medium" w:hAnsiTheme="minorHAnsi" w:cstheme="minorHAnsi"/>
              <w:b/>
              <w:bCs/>
              <w:i/>
              <w:sz w:val="28"/>
              <w:szCs w:val="28"/>
            </w:rPr>
          </w:pPr>
          <w:r w:rsidRPr="0047375F">
            <w:rPr>
              <w:rFonts w:asciiTheme="minorHAnsi" w:hAnsiTheme="minorHAnsi" w:cstheme="minorHAnsi"/>
              <w:b/>
              <w:i/>
              <w:sz w:val="28"/>
            </w:rPr>
            <w:t>- instytuty badawcze …</w:t>
          </w:r>
          <w:r w:rsidRPr="0047375F">
            <w:rPr>
              <w:rFonts w:asciiTheme="minorHAnsi" w:eastAsia="Franklin Gothic Medium" w:hAnsiTheme="minorHAnsi" w:cstheme="minorHAnsi"/>
              <w:b/>
              <w:bCs/>
              <w:i/>
              <w:sz w:val="28"/>
              <w:szCs w:val="28"/>
            </w:rPr>
            <w:t xml:space="preserve"> , </w:t>
          </w:r>
        </w:p>
        <w:p w:rsidR="00684019" w:rsidRPr="0047375F" w:rsidRDefault="00684019" w:rsidP="008F0FDA">
          <w:pPr>
            <w:pStyle w:val="Default"/>
            <w:jc w:val="right"/>
            <w:rPr>
              <w:rFonts w:asciiTheme="minorHAnsi" w:eastAsia="Franklin Gothic Medium" w:hAnsiTheme="minorHAnsi" w:cstheme="minorHAnsi"/>
              <w:b/>
              <w:bCs/>
              <w:i/>
              <w:sz w:val="28"/>
              <w:szCs w:val="28"/>
            </w:rPr>
          </w:pPr>
          <w:r w:rsidRPr="0047375F">
            <w:rPr>
              <w:rFonts w:asciiTheme="minorHAnsi" w:hAnsiTheme="minorHAnsi" w:cstheme="minorHAnsi"/>
              <w:b/>
              <w:i/>
              <w:sz w:val="28"/>
            </w:rPr>
            <w:t>- inne podmioty …</w:t>
          </w:r>
          <w:r w:rsidRPr="0047375F">
            <w:rPr>
              <w:rFonts w:asciiTheme="minorHAnsi" w:eastAsia="Franklin Gothic Medium" w:hAnsiTheme="minorHAnsi" w:cstheme="minorHAnsi"/>
              <w:b/>
              <w:bCs/>
              <w:i/>
              <w:sz w:val="28"/>
              <w:szCs w:val="28"/>
            </w:rPr>
            <w:t xml:space="preserve"> . </w:t>
          </w:r>
        </w:p>
        <w:p w:rsidR="00684019" w:rsidRPr="0047375F" w:rsidRDefault="00684019" w:rsidP="008F0FDA">
          <w:pPr>
            <w:pStyle w:val="Default"/>
            <w:jc w:val="right"/>
            <w:rPr>
              <w:rFonts w:asciiTheme="minorHAnsi" w:hAnsiTheme="minorHAnsi" w:cstheme="minorHAnsi"/>
              <w:b/>
              <w:i/>
              <w:sz w:val="28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eastAsia="Franklin Gothic Medium" w:hAnsiTheme="minorHAnsi" w:cstheme="minorHAnsi"/>
              <w:b/>
              <w:bCs/>
              <w:sz w:val="26"/>
              <w:szCs w:val="26"/>
            </w:rPr>
          </w:pPr>
          <w:r w:rsidRPr="0047375F">
            <w:rPr>
              <w:rFonts w:asciiTheme="minorHAnsi" w:hAnsiTheme="minorHAnsi" w:cstheme="minorHAnsi"/>
              <w:b/>
              <w:noProof/>
              <w:sz w:val="26"/>
              <w:lang w:eastAsia="pl-PL"/>
            </w:rPr>
            <w:drawing>
              <wp:inline distT="0" distB="0" distL="0" distR="0">
                <wp:extent cx="4533900" cy="1379220"/>
                <wp:effectExtent l="19050" t="0" r="0" b="0"/>
                <wp:docPr id="91" name="Obraz 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zrost_sprzedaz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137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8F0FDA" w:rsidRPr="0047375F" w:rsidRDefault="008F0FDA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8F0FDA" w:rsidRPr="0047375F" w:rsidRDefault="008F0FDA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8F0FDA" w:rsidRPr="0047375F" w:rsidRDefault="008F0FDA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8F0FDA" w:rsidRPr="0047375F" w:rsidRDefault="008F0FDA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8F0FDA" w:rsidRPr="0047375F" w:rsidRDefault="008F0FDA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  <w:sz w:val="26"/>
            </w:rPr>
          </w:pPr>
        </w:p>
        <w:p w:rsidR="00684019" w:rsidRPr="0047375F" w:rsidRDefault="00684019" w:rsidP="008F0FDA">
          <w:pPr>
            <w:pStyle w:val="Default"/>
            <w:jc w:val="center"/>
            <w:rPr>
              <w:rFonts w:asciiTheme="minorHAnsi" w:hAnsiTheme="minorHAnsi" w:cstheme="minorHAnsi"/>
              <w:b/>
            </w:rPr>
          </w:pPr>
          <w:r w:rsidRPr="0047375F">
            <w:rPr>
              <w:rFonts w:asciiTheme="minorHAnsi" w:hAnsiTheme="minorHAnsi" w:cstheme="minorHAnsi"/>
              <w:b/>
            </w:rPr>
            <w:t xml:space="preserve">Warszawa </w:t>
          </w:r>
          <w:r w:rsidR="00BD1E69" w:rsidRPr="0047375F">
            <w:rPr>
              <w:rFonts w:asciiTheme="minorHAnsi" w:hAnsiTheme="minorHAnsi" w:cstheme="minorHAnsi"/>
              <w:b/>
            </w:rPr>
            <w:t>2019</w:t>
          </w:r>
          <w:r w:rsidRPr="0047375F">
            <w:rPr>
              <w:rFonts w:asciiTheme="minorHAnsi" w:hAnsiTheme="minorHAnsi" w:cstheme="minorHAnsi"/>
              <w:b/>
            </w:rPr>
            <w:br w:type="page"/>
          </w:r>
        </w:p>
      </w:sdtContent>
    </w:sdt>
    <w:bookmarkStart w:id="0" w:name="_Toc2947499" w:displacedByCustomXml="next"/>
    <w:bookmarkStart w:id="1" w:name="_Toc434929257" w:displacedByCustomXml="next"/>
    <w:bookmarkStart w:id="2" w:name="_Toc434929345" w:displacedByCustomXml="next"/>
    <w:sdt>
      <w:sdtPr>
        <w:rPr>
          <w:rFonts w:eastAsiaTheme="minorHAnsi"/>
          <w:color w:val="auto"/>
          <w:sz w:val="23"/>
          <w:szCs w:val="22"/>
        </w:rPr>
        <w:id w:val="883451240"/>
        <w:docPartObj>
          <w:docPartGallery w:val="Table of Contents"/>
          <w:docPartUnique/>
        </w:docPartObj>
      </w:sdtPr>
      <w:sdtEndPr>
        <w:rPr>
          <w:rFonts w:asciiTheme="minorHAnsi" w:eastAsia="Franklin Gothic Medium" w:hAnsiTheme="minorHAnsi" w:cstheme="minorHAnsi"/>
          <w:b w:val="0"/>
          <w:bCs w:val="0"/>
          <w:szCs w:val="23"/>
        </w:rPr>
      </w:sdtEndPr>
      <w:sdtContent>
        <w:p w:rsidR="002743D1" w:rsidRPr="007614BA" w:rsidRDefault="00684019" w:rsidP="0047375F">
          <w:pPr>
            <w:pStyle w:val="Nagwek1"/>
            <w:numPr>
              <w:ilvl w:val="0"/>
              <w:numId w:val="0"/>
            </w:numPr>
            <w:rPr>
              <w:noProof/>
              <w:sz w:val="22"/>
              <w:szCs w:val="22"/>
            </w:rPr>
          </w:pPr>
          <w:r w:rsidRPr="0047375F">
            <w:rPr>
              <w:rStyle w:val="poziom1Znak"/>
              <w:rFonts w:asciiTheme="minorHAnsi" w:hAnsiTheme="minorHAnsi" w:cstheme="minorHAnsi"/>
              <w:b/>
              <w:sz w:val="30"/>
            </w:rPr>
            <w:t>Spis treści</w:t>
          </w:r>
          <w:bookmarkEnd w:id="2"/>
          <w:bookmarkEnd w:id="1"/>
          <w:bookmarkEnd w:id="0"/>
          <w:r w:rsidR="00675E28" w:rsidRPr="0047375F">
            <w:fldChar w:fldCharType="begin"/>
          </w:r>
          <w:r w:rsidRPr="0047375F">
            <w:instrText xml:space="preserve"> TOC \o "1-3" \h \z \u </w:instrText>
          </w:r>
          <w:r w:rsidR="00675E28" w:rsidRPr="0047375F">
            <w:fldChar w:fldCharType="separate"/>
          </w:r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0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Wprowadzenie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_Toc2947500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3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1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Zakres obowiązywania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_Toc2947501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3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2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3.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Koszty w projekcie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_Toc2947502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3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3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4.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Podstawowe zasady kwalifikowania kosztów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_Toc2947503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4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4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5.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Ramy czasowe kwalifikowalności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_Toc2947504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4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5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6.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Katalog kosztów niekwalifikowalnych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_Toc2947505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4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6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7.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Katalog kosztów kwalifikowalnych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_Toc2947506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  <w:bookmarkStart w:id="3" w:name="_GoBack"/>
          <w:bookmarkEnd w:id="3"/>
        </w:p>
        <w:p w:rsidR="002743D1" w:rsidRPr="007614BA" w:rsidRDefault="007614BA" w:rsidP="008F0FDA">
          <w:pPr>
            <w:pStyle w:val="Spistreci2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07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1)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Koszty merytoryczne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_Toc2947507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5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08" w:history="1">
            <w:r w:rsidR="002743D1" w:rsidRPr="007614BA">
              <w:rPr>
                <w:rStyle w:val="Hipercze"/>
                <w:rFonts w:cstheme="minorHAnsi"/>
                <w:noProof/>
              </w:rPr>
              <w:t>WM - Koszty osobowe personelu merytorycznego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_Toc2947508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5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09" w:history="1">
            <w:r w:rsidR="002743D1" w:rsidRPr="007614BA">
              <w:rPr>
                <w:rStyle w:val="Hipercze"/>
                <w:rFonts w:cstheme="minorHAnsi"/>
                <w:noProof/>
              </w:rPr>
              <w:t>P - Koszty publikacji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_Toc2947509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7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0" w:history="1">
            <w:r w:rsidR="002743D1" w:rsidRPr="007614BA">
              <w:rPr>
                <w:rStyle w:val="Hipercze"/>
                <w:rFonts w:cstheme="minorHAnsi"/>
                <w:noProof/>
              </w:rPr>
              <w:t>PM - Koszty podróży służbowych personelu merytorycznego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_Toc2947510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7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1" w:history="1">
            <w:r w:rsidR="002743D1" w:rsidRPr="007614BA">
              <w:rPr>
                <w:rStyle w:val="Hipercze"/>
                <w:rFonts w:cstheme="minorHAnsi"/>
                <w:noProof/>
              </w:rPr>
              <w:t>ZM – koszty usług zlecanych w zakresie zadań merytorycznych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_Toc2947511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8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2" w:history="1">
            <w:r w:rsidR="002743D1" w:rsidRPr="007614BA">
              <w:rPr>
                <w:rStyle w:val="Hipercze"/>
                <w:rFonts w:cstheme="minorHAnsi"/>
                <w:noProof/>
              </w:rPr>
              <w:t>ŚT - Koszty środków trwałych i WNiP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_Toc2947512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8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2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13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2)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Koszty ogólne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_Toc2947513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9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left" w:pos="880"/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4" w:history="1">
            <w:r w:rsidR="002743D1" w:rsidRPr="007614BA">
              <w:rPr>
                <w:rStyle w:val="Hipercze"/>
                <w:rFonts w:cstheme="minorHAnsi"/>
                <w:noProof/>
              </w:rPr>
              <w:t>a)</w:t>
            </w:r>
            <w:r w:rsidR="002743D1" w:rsidRPr="007614BA">
              <w:rPr>
                <w:rFonts w:cstheme="minorHAnsi"/>
                <w:noProof/>
              </w:rPr>
              <w:tab/>
            </w:r>
            <w:r w:rsidR="002743D1" w:rsidRPr="007614BA">
              <w:rPr>
                <w:rStyle w:val="Hipercze"/>
                <w:rFonts w:cstheme="minorHAnsi"/>
                <w:noProof/>
              </w:rPr>
              <w:t>WA - Koszty osobowe personelu administracyjnego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_Toc2947514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9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left" w:pos="880"/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5" w:history="1">
            <w:r w:rsidR="002743D1" w:rsidRPr="007614BA">
              <w:rPr>
                <w:rStyle w:val="Hipercze"/>
                <w:rFonts w:cstheme="minorHAnsi"/>
                <w:noProof/>
              </w:rPr>
              <w:t>b)</w:t>
            </w:r>
            <w:r w:rsidR="002743D1" w:rsidRPr="007614BA">
              <w:rPr>
                <w:rFonts w:cstheme="minorHAnsi"/>
                <w:noProof/>
              </w:rPr>
              <w:tab/>
            </w:r>
            <w:r w:rsidR="002743D1" w:rsidRPr="007614BA">
              <w:rPr>
                <w:rStyle w:val="Hipercze"/>
                <w:rFonts w:cstheme="minorHAnsi"/>
                <w:noProof/>
              </w:rPr>
              <w:t>KA - Koszty administracyjne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_Toc2947515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11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left" w:pos="880"/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6" w:history="1">
            <w:r w:rsidR="002743D1" w:rsidRPr="007614BA">
              <w:rPr>
                <w:rStyle w:val="Hipercze"/>
                <w:rFonts w:cstheme="minorHAnsi"/>
                <w:noProof/>
              </w:rPr>
              <w:t>c)</w:t>
            </w:r>
            <w:r w:rsidR="002743D1" w:rsidRPr="007614BA">
              <w:rPr>
                <w:rFonts w:cstheme="minorHAnsi"/>
                <w:noProof/>
              </w:rPr>
              <w:tab/>
            </w:r>
            <w:r w:rsidR="002743D1" w:rsidRPr="007614BA">
              <w:rPr>
                <w:rStyle w:val="Hipercze"/>
                <w:rFonts w:cstheme="minorHAnsi"/>
                <w:noProof/>
              </w:rPr>
              <w:t>ZO – koszty usług zlecanych w zakresie zadań innych niż merytoryczne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_Toc2947516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11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left" w:pos="880"/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7" w:history="1">
            <w:r w:rsidR="002743D1" w:rsidRPr="007614BA">
              <w:rPr>
                <w:rStyle w:val="Hipercze"/>
                <w:rFonts w:cstheme="minorHAnsi"/>
                <w:noProof/>
              </w:rPr>
              <w:t>d)</w:t>
            </w:r>
            <w:r w:rsidR="002743D1" w:rsidRPr="007614BA">
              <w:rPr>
                <w:rFonts w:cstheme="minorHAnsi"/>
                <w:noProof/>
              </w:rPr>
              <w:tab/>
            </w:r>
            <w:r w:rsidR="002743D1" w:rsidRPr="007614BA">
              <w:rPr>
                <w:rStyle w:val="Hipercze"/>
                <w:rFonts w:cstheme="minorHAnsi"/>
                <w:noProof/>
              </w:rPr>
              <w:t>PA - Koszty podróży służbowych personelu administracyjnego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_Toc2947517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12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3"/>
            <w:tabs>
              <w:tab w:val="left" w:pos="880"/>
              <w:tab w:val="right" w:leader="dot" w:pos="9062"/>
            </w:tabs>
            <w:spacing w:line="240" w:lineRule="auto"/>
            <w:rPr>
              <w:rFonts w:cstheme="minorHAnsi"/>
              <w:noProof/>
            </w:rPr>
          </w:pPr>
          <w:hyperlink w:anchor="_Toc2947518" w:history="1">
            <w:r w:rsidR="002743D1" w:rsidRPr="007614BA">
              <w:rPr>
                <w:rStyle w:val="Hipercze"/>
                <w:rFonts w:cstheme="minorHAnsi"/>
                <w:noProof/>
              </w:rPr>
              <w:t>e)</w:t>
            </w:r>
            <w:r w:rsidR="002743D1" w:rsidRPr="007614BA">
              <w:rPr>
                <w:rFonts w:cstheme="minorHAnsi"/>
                <w:noProof/>
              </w:rPr>
              <w:tab/>
            </w:r>
            <w:r w:rsidR="002743D1" w:rsidRPr="007614BA">
              <w:rPr>
                <w:rStyle w:val="Hipercze"/>
                <w:rFonts w:cstheme="minorHAnsi"/>
                <w:noProof/>
              </w:rPr>
              <w:t>A - Koszty audytu zewnętrznego</w:t>
            </w:r>
            <w:r w:rsidR="002743D1" w:rsidRPr="007614BA">
              <w:rPr>
                <w:rFonts w:cstheme="minorHAnsi"/>
                <w:noProof/>
                <w:webHidden/>
              </w:rPr>
              <w:tab/>
            </w:r>
            <w:r w:rsidR="002743D1" w:rsidRPr="007614BA">
              <w:rPr>
                <w:rFonts w:cstheme="minorHAnsi"/>
                <w:noProof/>
                <w:webHidden/>
              </w:rPr>
              <w:fldChar w:fldCharType="begin"/>
            </w:r>
            <w:r w:rsidR="002743D1" w:rsidRPr="007614BA">
              <w:rPr>
                <w:rFonts w:cstheme="minorHAnsi"/>
                <w:noProof/>
                <w:webHidden/>
              </w:rPr>
              <w:instrText xml:space="preserve"> PAGEREF _Toc2947518 \h </w:instrText>
            </w:r>
            <w:r w:rsidR="002743D1" w:rsidRPr="007614BA">
              <w:rPr>
                <w:rFonts w:cstheme="minorHAnsi"/>
                <w:noProof/>
                <w:webHidden/>
              </w:rPr>
            </w:r>
            <w:r w:rsidR="002743D1" w:rsidRPr="007614BA">
              <w:rPr>
                <w:rFonts w:cstheme="minorHAnsi"/>
                <w:noProof/>
                <w:webHidden/>
              </w:rPr>
              <w:fldChar w:fldCharType="separate"/>
            </w:r>
            <w:r w:rsidRPr="007614BA">
              <w:rPr>
                <w:rFonts w:cstheme="minorHAnsi"/>
                <w:noProof/>
                <w:webHidden/>
              </w:rPr>
              <w:t>12</w:t>
            </w:r>
            <w:r w:rsidR="002743D1" w:rsidRPr="007614B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19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8.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Zasada konkurencyjności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_Toc2947519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12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20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9.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Podatek od towarów i usług (VAT)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_Toc2947520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15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21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10.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Dokumentowanie poniesionych kosztów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_Toc2947521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15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22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11.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Zakaz podwójnego finansowania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_Toc2947522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16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2743D1" w:rsidRPr="007614BA" w:rsidRDefault="007614BA" w:rsidP="008F0FDA">
          <w:pPr>
            <w:pStyle w:val="Spistreci1"/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pl-PL"/>
            </w:rPr>
          </w:pPr>
          <w:hyperlink w:anchor="_Toc2947523" w:history="1"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12.</w:t>
            </w:r>
            <w:r w:rsidR="002743D1" w:rsidRPr="007614BA">
              <w:rPr>
                <w:rFonts w:asciiTheme="minorHAnsi" w:eastAsiaTheme="minorEastAsia" w:hAnsiTheme="minorHAnsi" w:cstheme="minorHAnsi"/>
                <w:noProof/>
                <w:sz w:val="22"/>
                <w:lang w:eastAsia="pl-PL"/>
              </w:rPr>
              <w:tab/>
            </w:r>
            <w:r w:rsidR="002743D1" w:rsidRPr="007614BA">
              <w:rPr>
                <w:rStyle w:val="Hipercze"/>
                <w:rFonts w:asciiTheme="minorHAnsi" w:hAnsiTheme="minorHAnsi" w:cstheme="minorHAnsi"/>
                <w:noProof/>
                <w:sz w:val="22"/>
              </w:rPr>
              <w:t>Wkład własny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ab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begin"/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instrText xml:space="preserve"> PAGEREF _Toc2947523 \h </w:instrTex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separate"/>
            </w:r>
            <w:r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t>16</w:t>
            </w:r>
            <w:r w:rsidR="002743D1" w:rsidRPr="007614BA">
              <w:rPr>
                <w:rFonts w:asciiTheme="minorHAnsi" w:hAnsiTheme="minorHAnsi" w:cstheme="minorHAnsi"/>
                <w:noProof/>
                <w:webHidden/>
                <w:sz w:val="22"/>
              </w:rPr>
              <w:fldChar w:fldCharType="end"/>
            </w:r>
          </w:hyperlink>
        </w:p>
        <w:p w:rsidR="00684019" w:rsidRPr="0047375F" w:rsidRDefault="00675E28" w:rsidP="008F0FDA">
          <w:pPr>
            <w:spacing w:before="120" w:after="120" w:line="240" w:lineRule="auto"/>
            <w:jc w:val="both"/>
            <w:rPr>
              <w:rFonts w:asciiTheme="minorHAnsi" w:hAnsiTheme="minorHAnsi" w:cstheme="minorHAnsi"/>
              <w:b/>
              <w:sz w:val="23"/>
            </w:rPr>
          </w:pPr>
          <w:r w:rsidRPr="0047375F">
            <w:rPr>
              <w:rFonts w:asciiTheme="minorHAnsi" w:hAnsiTheme="minorHAnsi" w:cstheme="minorHAnsi"/>
              <w:b/>
              <w:sz w:val="23"/>
            </w:rPr>
            <w:fldChar w:fldCharType="end"/>
          </w:r>
        </w:p>
      </w:sdtContent>
    </w:sdt>
    <w:p w:rsidR="00684019" w:rsidRPr="0047375F" w:rsidRDefault="00684019" w:rsidP="008F0FDA">
      <w:pPr>
        <w:spacing w:before="120" w:after="120" w:line="240" w:lineRule="auto"/>
        <w:jc w:val="both"/>
        <w:rPr>
          <w:rFonts w:asciiTheme="minorHAnsi" w:hAnsiTheme="minorHAnsi" w:cstheme="minorHAnsi"/>
          <w:color w:val="FFFFFF"/>
          <w:sz w:val="23"/>
        </w:rPr>
      </w:pPr>
      <w:r w:rsidRPr="0047375F">
        <w:rPr>
          <w:rFonts w:asciiTheme="minorHAnsi" w:hAnsiTheme="minorHAnsi" w:cstheme="minorHAnsi"/>
          <w:color w:val="FFFFFF"/>
          <w:sz w:val="23"/>
        </w:rPr>
        <w:br w:type="page"/>
      </w:r>
    </w:p>
    <w:p w:rsidR="00684019" w:rsidRPr="0047375F" w:rsidRDefault="00684019" w:rsidP="0047375F">
      <w:pPr>
        <w:pStyle w:val="Nagwek1"/>
      </w:pPr>
      <w:bookmarkStart w:id="4" w:name="_Toc2947500"/>
      <w:r w:rsidRPr="0047375F">
        <w:lastRenderedPageBreak/>
        <w:t>Wprowadzenie</w:t>
      </w:r>
      <w:bookmarkEnd w:id="4"/>
    </w:p>
    <w:p w:rsidR="00684019" w:rsidRPr="0047375F" w:rsidRDefault="00684019" w:rsidP="00205C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75F">
        <w:rPr>
          <w:rFonts w:asciiTheme="minorHAnsi" w:hAnsiTheme="minorHAnsi" w:cstheme="minorHAnsi"/>
          <w:color w:val="000000"/>
          <w:sz w:val="24"/>
          <w:szCs w:val="24"/>
        </w:rPr>
        <w:t xml:space="preserve">Celem przewodnika kwalifikowalności kosztów jest opracowanie, uszczegółowienie </w:t>
      </w:r>
      <w:r w:rsidRPr="0047375F">
        <w:rPr>
          <w:rFonts w:asciiTheme="minorHAnsi" w:hAnsiTheme="minorHAnsi" w:cstheme="minorHAnsi"/>
          <w:color w:val="000000"/>
          <w:sz w:val="24"/>
          <w:szCs w:val="24"/>
        </w:rPr>
        <w:br/>
        <w:t>i zobrazowanie zagadnienia kwalifikowalności kosztów, co znacznie ułatwi Wnioskodawcom opracowanie planu kosztów w ramach przygotowywanych projektów, rozliczanie otrzymanego dofinansowania oraz usprawni monitorowanie projektów na różnym etapie oceny zapewniając efektywne i skuteczne zarządzanie finansami publicznymi.</w:t>
      </w:r>
    </w:p>
    <w:p w:rsidR="00684019" w:rsidRPr="0047375F" w:rsidRDefault="00684019" w:rsidP="00205C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75F">
        <w:rPr>
          <w:rFonts w:asciiTheme="minorHAnsi" w:hAnsiTheme="minorHAnsi" w:cstheme="minorHAnsi"/>
          <w:color w:val="000000"/>
          <w:sz w:val="24"/>
          <w:szCs w:val="24"/>
        </w:rPr>
        <w:t xml:space="preserve">Jednocześnie zastrzega się, że ustalenia przewodnika kwalifikowalności kosztów nie uchylają, ani nie wpływają na możliwość wystąpienia odmiennych ustaleń i wyników kontroli prowadzonych przez inne instytucje kontrolne. 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75F">
        <w:rPr>
          <w:rFonts w:asciiTheme="minorHAnsi" w:hAnsiTheme="minorHAnsi" w:cstheme="minorHAnsi"/>
          <w:color w:val="000000"/>
          <w:sz w:val="24"/>
          <w:szCs w:val="24"/>
        </w:rPr>
        <w:t xml:space="preserve">Zastrzega się, że przewodnik kwalifikowalności kosztów oraz ustalone w nim wytyczne nie są podstawą do jakichkolwiek roszczeń prawnych lub finansowych przeciwko Państwowemu Funduszowi Rehabilitacji Osób Niepełnosprawnych. </w:t>
      </w:r>
    </w:p>
    <w:p w:rsidR="00684019" w:rsidRPr="0047375F" w:rsidRDefault="00684019" w:rsidP="0047375F">
      <w:pPr>
        <w:pStyle w:val="Nagwek1"/>
      </w:pPr>
      <w:bookmarkStart w:id="5" w:name="_Toc2947501"/>
      <w:r w:rsidRPr="0047375F">
        <w:t>Zakres obowiązywania</w:t>
      </w:r>
      <w:bookmarkEnd w:id="5"/>
      <w:r w:rsidRPr="0047375F">
        <w:t xml:space="preserve"> </w:t>
      </w:r>
    </w:p>
    <w:p w:rsidR="00684019" w:rsidRPr="0047375F" w:rsidRDefault="00684019" w:rsidP="008F0FD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Przewodnik określa zasady kwalifikowania kosztów w ramach finansowania badań, ekspertyz i analiz dotyczących rehabilitacji zawodowej i społecznej osób niepełnosprawnych ze środków PFRON, zawiera katalog kosztów kwalifikowalnych oraz katalog kosztów niekwalifikowalnych.</w:t>
      </w:r>
    </w:p>
    <w:p w:rsidR="00684019" w:rsidRPr="0047375F" w:rsidRDefault="00684019" w:rsidP="008F0FD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Zarówno katalog kosztów kwalifikowalnych jak i katalog kosztów niekwalifikowalnych mają charakter otwarty. Kwalifikowalność kosztu uzależniona jest od zgodności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br/>
        <w:t>z ogólnymi zasadami kwalifikowalności, specyfiki realizowanego projektu oraz uwzględnienia kosztu we wniosku o dofinansowanie.</w:t>
      </w:r>
    </w:p>
    <w:p w:rsidR="00684019" w:rsidRPr="0047375F" w:rsidRDefault="00684019" w:rsidP="008F0FD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Zasady dotyczą wszystkich kosztów kwalifikowalnych ponoszonych przez Wnioskodawcę (także Partnerów) – zarówno w ramach współfinansowania przez PFRON jak i środków własnych Wykonawcy.</w:t>
      </w:r>
    </w:p>
    <w:p w:rsidR="00ED0679" w:rsidRPr="0047375F" w:rsidRDefault="00684019" w:rsidP="008F0FD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Regulamin konkursu może określać dodatkowe kryteria kwalifikowalności.</w:t>
      </w:r>
    </w:p>
    <w:p w:rsidR="00684019" w:rsidRPr="0047375F" w:rsidRDefault="00684019" w:rsidP="0047375F">
      <w:pPr>
        <w:pStyle w:val="Nagwek1"/>
      </w:pPr>
      <w:bookmarkStart w:id="6" w:name="_Toc2947502"/>
      <w:r w:rsidRPr="0047375F">
        <w:t>Koszty w projekcie</w:t>
      </w:r>
      <w:bookmarkEnd w:id="6"/>
    </w:p>
    <w:p w:rsidR="00684019" w:rsidRDefault="0047375F" w:rsidP="007614BA">
      <w:pPr>
        <w:spacing w:before="240" w:after="0"/>
        <w:jc w:val="center"/>
      </w:pPr>
      <w:r>
        <w:rPr>
          <w:noProof/>
        </w:rPr>
        <w:drawing>
          <wp:inline distT="0" distB="0" distL="0" distR="0">
            <wp:extent cx="5296639" cy="2886478"/>
            <wp:effectExtent l="0" t="0" r="0" b="0"/>
            <wp:docPr id="1" name="Obraz 1" descr="Schemat kosztów projektu, podział na koszty kwalifikowalne i niekwalifikowalne. Koszty kwalifikowalne podzielone na koszty merytoryczne i ogólne. Koszty merytoryczne podzielone na koszty bieżące i inwesty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19" w:rsidRPr="0047375F" w:rsidRDefault="00684019" w:rsidP="0047375F">
      <w:pPr>
        <w:pStyle w:val="Nagwek1"/>
      </w:pPr>
      <w:bookmarkStart w:id="7" w:name="_Toc2947503"/>
      <w:r w:rsidRPr="0047375F">
        <w:t>Podstawowe zasady kwalifikowania kosztów</w:t>
      </w:r>
      <w:bookmarkEnd w:id="7"/>
    </w:p>
    <w:p w:rsidR="00684019" w:rsidRPr="0047375F" w:rsidRDefault="00684019" w:rsidP="008F0FDA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Kwalifikowalność kosztu może zostać uznana, o ile zostaną spełnione łącznie następujące warunki: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zostały uwzględnione i uzasadnione w budżecie projektu, umieszczone we wniosku oraz w umowie zawartej pomiędzy Wnioskodawcą a PFRON,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zostały poniesione w okresie kwalifikowalności,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zostały należycie udokumentowane i są możliwe do zweryfikowania,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są niezbędne do realizacji projektu i zostały poniesione w związku z realizacją projektu,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zostały faktycznie poniesione na produkty/usługi,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zostały poniesione w sposób efektywny i racjonalny,</w:t>
      </w:r>
    </w:p>
    <w:p w:rsidR="00684019" w:rsidRPr="0047375F" w:rsidRDefault="00684019" w:rsidP="008F0FDA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są zgodne z obowiązującymi przepisami prawa wspólnotowego oraz prawa krajowego, w szczególności z ustawą Prawo Zamówień Publicznych (jeżeli dotyczy).</w:t>
      </w:r>
    </w:p>
    <w:p w:rsidR="00684019" w:rsidRPr="0047375F" w:rsidRDefault="00684019" w:rsidP="008F0F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lastRenderedPageBreak/>
        <w:t>Koszty kwalifikowalne ujęte w projekcie to koszty obliczone zgodnie z obowiązującymi zasadami rachunkowości i zasadami należytego zarządzania finansami oraz praktykami Wnioskodawcy (polityka rachunkowości). Każdy z Wnioskodawców zobowiązany jest stosować praktyki (wytyczne) przyjęte w jego instytucji. Możliwość rozliczania ponoszonych kosztów według zasad księgowania stosowanych w danej instytucji, nie oznacza, że Wnioskodawcy mogą tworzyć nowe zasady, specjalnie na potrzeby projektu.</w:t>
      </w:r>
    </w:p>
    <w:p w:rsidR="00684019" w:rsidRPr="0047375F" w:rsidRDefault="00684019" w:rsidP="008F0F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:rsidR="00684019" w:rsidRPr="0047375F" w:rsidRDefault="00684019" w:rsidP="008F0F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Finansowanie projektu ze środków PFRON nie obejmuje wydatków Wnioskodawcy w części finansowanej z innych źródeł np. przez budżet państwa, sponsora, ze środków unijnych.</w:t>
      </w:r>
    </w:p>
    <w:p w:rsidR="00684019" w:rsidRPr="0047375F" w:rsidRDefault="00684019" w:rsidP="0047375F">
      <w:pPr>
        <w:pStyle w:val="Nagwek1"/>
      </w:pPr>
      <w:bookmarkStart w:id="8" w:name="_Toc2947504"/>
      <w:r w:rsidRPr="0047375F">
        <w:t>Ramy czasowe kwalifikowalności</w:t>
      </w:r>
      <w:bookmarkEnd w:id="8"/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Okres kwalifikowania kosztów dla danego projektu powinien być określony w umowie </w:t>
      </w: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>o dofinansowanie projektu.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poniesione poza okresem określonym w umowie stanowią koszty niekwalifikowalne. 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W przedkładanym rozliczeniu wykazywane są koszty związane z danym okresem, niezależnie od terminu ich zapłaty. 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Wszystkie wykazane w rozliczeniu koszty muszą być faktycznie poniesione i opłacone w terminie do 30 dni od dnia zakończenia realizacji projektu.</w:t>
      </w:r>
    </w:p>
    <w:p w:rsidR="00684019" w:rsidRPr="0047375F" w:rsidRDefault="00684019" w:rsidP="0047375F">
      <w:pPr>
        <w:pStyle w:val="Nagwek1"/>
      </w:pPr>
      <w:bookmarkStart w:id="9" w:name="_Toc2947505"/>
      <w:r w:rsidRPr="0047375F">
        <w:t>Katalog kosztów niekwalifikowalnych</w:t>
      </w:r>
      <w:bookmarkEnd w:id="9"/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 koszty niekwalifikowalne uważa się: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poniesione poza okresem kwalifikowalności,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nieudokumentowane lub nienależycie udokumentowane,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poniesione niezgodnie z Ustawą Prawo Zamówień Publicznych/zasadą konkurencyjności,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podatek od towarów i usług (VAT), który w świetle prawa może być odzyskany,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grzywny, mandaty, kary finansowe, opłaty i odsetki karne,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rezerwy na pokrycie przyszłych strat lub zobowiązań,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odsetki, prowizje i inne koszty pożyczek i kredytów, 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poniesione na przygotowanie wniosku,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przypadku leasingu - podatek, marża finansującego, odsetki od refinansowania kosztów, opłaty ubezpieczeniowe, koszty ogólne,</w:t>
      </w:r>
    </w:p>
    <w:p w:rsidR="00684019" w:rsidRPr="0047375F" w:rsidRDefault="00684019" w:rsidP="00205C4F">
      <w:pPr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poniższe składniki płacowe i pozapłacowe wynagrodzeń: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nagrody jubileuszowe,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ekwiwalent za niewykorzystany urlop wypoczynkowy,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składka na grupowe ubezpieczenie na życie - traktowana jako przychód pracownika opodatkowany,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lastRenderedPageBreak/>
        <w:t>dopłata do świadczeń medycznych,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ekwiwalent pieniężny (np.: ulgowa odpłatność za energię elektryczną),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dopłata do energii elektrycznej (traktowana jako przychód pracownika opodatkowany),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używanie samochodu służbowego - dojazd do pracy z miejsca zamieszkania,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dofinansowanie wypłacone z ZFŚS (przychód pracownika opodatkowany),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zasiłki finansowane ze środków ZUS (np. macierzyński),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wynagrodzenie za pracę w godzinach nadliczbowych,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badań okresowych i wstępnych,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dopłata do okularów,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dodatki za znajomość języków, za niepalenie i inne dodatki tego typu ustalone przez pracodawcę,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bony żywieniowe dla pracowników,</w:t>
      </w:r>
    </w:p>
    <w:p w:rsidR="00684019" w:rsidRPr="0047375F" w:rsidRDefault="00684019" w:rsidP="00205C4F">
      <w:pPr>
        <w:numPr>
          <w:ilvl w:val="0"/>
          <w:numId w:val="7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składki na Państwowy Fundusz Rehabilitacji Osób Niepełnosprawnych.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</w:rPr>
      </w:pPr>
    </w:p>
    <w:p w:rsidR="006F147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niekwalifikowalne nie mogą stanowić całości ani części wymaganego wkładu własnego Wykonawcy/Partnera realizującego projekt oraz nie mogą zostać sfinansowane ze środków PFRON.</w:t>
      </w:r>
    </w:p>
    <w:p w:rsidR="00684019" w:rsidRPr="0047375F" w:rsidRDefault="00684019" w:rsidP="0047375F">
      <w:pPr>
        <w:pStyle w:val="Nagwek1"/>
      </w:pPr>
      <w:bookmarkStart w:id="10" w:name="_Toc2947506"/>
      <w:r w:rsidRPr="0047375F">
        <w:t>Katalog kosztów kwalifikowalnych</w:t>
      </w:r>
      <w:bookmarkEnd w:id="10"/>
    </w:p>
    <w:p w:rsidR="00684019" w:rsidRPr="0047375F" w:rsidRDefault="00684019" w:rsidP="008F0FDA">
      <w:pPr>
        <w:pStyle w:val="Nagwek2"/>
        <w:spacing w:line="240" w:lineRule="auto"/>
        <w:rPr>
          <w:rFonts w:asciiTheme="minorHAnsi" w:hAnsiTheme="minorHAnsi" w:cstheme="minorHAnsi"/>
        </w:rPr>
      </w:pPr>
      <w:bookmarkStart w:id="11" w:name="_Toc2947507"/>
      <w:r w:rsidRPr="0047375F">
        <w:rPr>
          <w:rFonts w:asciiTheme="minorHAnsi" w:hAnsiTheme="minorHAnsi" w:cstheme="minorHAnsi"/>
        </w:rPr>
        <w:t>Koszty merytoryczne</w:t>
      </w:r>
      <w:bookmarkEnd w:id="11"/>
    </w:p>
    <w:p w:rsidR="00684019" w:rsidRPr="0047375F" w:rsidRDefault="00684019" w:rsidP="008F0FDA">
      <w:pPr>
        <w:pStyle w:val="Nagwek3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4"/>
        </w:rPr>
      </w:pPr>
      <w:bookmarkStart w:id="12" w:name="_Toc2947508"/>
      <w:r w:rsidRPr="0047375F">
        <w:rPr>
          <w:rFonts w:asciiTheme="minorHAnsi" w:hAnsiTheme="minorHAnsi" w:cstheme="minorHAnsi"/>
          <w:sz w:val="24"/>
        </w:rPr>
        <w:t>WM - Koszty osobowe personelu merytorycznego</w:t>
      </w:r>
      <w:bookmarkEnd w:id="12"/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ramach kategorii kwalifikowalne są koszty wynagrodzeń personelu merytorycznego wraz z</w:t>
      </w:r>
      <w:r w:rsidR="008B55AF"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 </w:t>
      </w: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pozapłacowymi kosztami pracy, w tym składkami na ubezpieczenia społeczne i zdrowotne, w części, w jakiej wynagrodzenia te są bezpośrednio związane z realizacją projektu objętego dofinansowaniem.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 kwalifikowalny stanowią poniższe składniki płacowe i pozapłacowe wynagrodzenia personelu merytorycznego, proporcjonalnie do zaangażowania pracownika w projekcie: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wynagrodzenie zasadnicze;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narzuty na wynagrodzenia po stronie pracodawcy, w tym: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emerytalna,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rentowa,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wypadkowa,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Fundusz Gwarantowanych Świadczeń Pracowniczych,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Fundusz Pracy,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narzuty na wynagrodzenia po stronie pracownika, w tym: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ubezpieczenie emerytalne,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ubezpieczenie rentowe,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ubezpieczenie chorobowe,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zdrowotna,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lastRenderedPageBreak/>
        <w:t>zaliczka na podatek dochodowy,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wynagrodzenie za czas niezdolności do pracy, zgodnie z obowiązującymi przepisami w zakresie ubezpieczeń społecznych,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wynagrodzenie za okres urlopu wypoczynkowego,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dodatek stażowy,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odpisy na Zakładowy Fundusz Świadczeń Socjalnych,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dodatek funkcyjny za sprawowanie stanowiska kierowniczego, wypłacany w stałej wysokości, o ile dotyczy funkcji sprawowanej w ramach projektu.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spacing w:before="120"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Kosztami kwalifikowalnymi mogą być również nagrody, z wyłączeniem nagrody jubileuszowej, lub premie, o ile:</w:t>
      </w:r>
    </w:p>
    <w:p w:rsidR="00684019" w:rsidRPr="0047375F" w:rsidRDefault="00684019" w:rsidP="008F0FDA">
      <w:pPr>
        <w:numPr>
          <w:ilvl w:val="0"/>
          <w:numId w:val="27"/>
        </w:numPr>
        <w:spacing w:before="60" w:line="240" w:lineRule="auto"/>
        <w:contextualSpacing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zostały przewidziane w regulaminie pracy lub regulaminie wynagradzania Wnioskodawcy i obejmują potencjalnie wszystkich pracowników Wnioskodawcy;</w:t>
      </w:r>
    </w:p>
    <w:p w:rsidR="00684019" w:rsidRPr="0047375F" w:rsidRDefault="00684019" w:rsidP="008F0FDA">
      <w:pPr>
        <w:numPr>
          <w:ilvl w:val="0"/>
          <w:numId w:val="27"/>
        </w:numPr>
        <w:spacing w:before="60" w:line="240" w:lineRule="auto"/>
        <w:contextualSpacing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zostały wprowadzone w regulaminie u Wnioskodawcy w okresie przynajmniej 6 miesięcy przed złożeniem wniosku o dofinansowanie projektu badawczego;</w:t>
      </w:r>
    </w:p>
    <w:p w:rsidR="00684019" w:rsidRPr="0047375F" w:rsidRDefault="00684019" w:rsidP="008F0FDA">
      <w:pPr>
        <w:numPr>
          <w:ilvl w:val="0"/>
          <w:numId w:val="27"/>
        </w:numPr>
        <w:spacing w:before="60" w:line="240" w:lineRule="auto"/>
        <w:contextualSpacing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dotyczą personelu projektu zatrudnionego na podstawie stosunku pracy.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wynagrodzenia pracowników merytorycznych zatrudnionych na podstawie stosunku pracy, są kwalifikowalne o ile pracownik jest zatrudniony lub oddelegowany w celu realizacji zadań związanych bezpośrednio z realizacją projektu (pod pojęciem „oddelegowania” należy rozumieć zmianę obowiązków służbowych pracownika na okres realizacji projektu), co jest odpowiednio udokumentowane postanowieniami umowy o pracę lub zakresem czynności służbowych pracownika lub opisem stanowiska pracy (przez odpowiednie udokumentowanie należy rozumieć m.in. wskazanie w ww. dokumentach nazwy projektu oraz wszystkich zadań, które dana osoba będzie wykonywała w ramach tego projektu).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sytuacji, gdy Wnioskodawca zatrudnia do realizacji projektu osobę niepełnosprawną, za kwalifikowalne uznaje się wynagrodzenie pomniejszone o miesięczne dofinansowanie do wynagrodzenia tego pracownika, uzyskane przez Wnioskodawcę w ramach art. 26a ustawy z</w:t>
      </w:r>
      <w:r w:rsidR="002E1913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dnia 27 sierpnia 1997 r. o rehabilitacji zawodowej i społecznej oraz zatrudnianiu osób niepełnosprawnych.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Koszty wynagrodzenia pracowników Wnioskodawcy, jednocześnie zatrudnionych w ramach umowy o dzieło lub umowy zlecenia na potrzeby realizacji projektu, są kwalifikowalne o ile: </w:t>
      </w:r>
    </w:p>
    <w:p w:rsidR="00684019" w:rsidRPr="0047375F" w:rsidRDefault="00684019" w:rsidP="008F0FDA">
      <w:pPr>
        <w:numPr>
          <w:ilvl w:val="0"/>
          <w:numId w:val="15"/>
        </w:numPr>
        <w:spacing w:after="120" w:line="240" w:lineRule="auto"/>
        <w:ind w:left="567" w:hanging="35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zakres zadań zleconych w formie umowy o dzieło lub umowy zlecenia dotyczy bezpośrednio realizacji projektu, </w:t>
      </w:r>
    </w:p>
    <w:p w:rsidR="00684019" w:rsidRPr="0047375F" w:rsidRDefault="00684019" w:rsidP="008F0FDA">
      <w:pPr>
        <w:numPr>
          <w:ilvl w:val="0"/>
          <w:numId w:val="15"/>
        </w:numPr>
        <w:spacing w:after="120" w:line="240" w:lineRule="auto"/>
        <w:ind w:left="567" w:hanging="35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w ramach czynności służbowych wynikających ze stosunku pracy pracownik nie realizuje żadnych zadań związanych z projektem, co musi zostać udokumentowane postanowieniami umowy o pracę lub zakresem czynności służbowych pracownika lub opisem stanowiska pracy. </w:t>
      </w:r>
    </w:p>
    <w:p w:rsidR="00244569" w:rsidRPr="0047375F" w:rsidRDefault="00244569" w:rsidP="008F0FDA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Koszty wynagrodzenia osoby zaangażowanej w realizację projektu są kwalifikowalne</w:t>
      </w:r>
      <w:r w:rsidR="00EA3B9E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o ile:</w:t>
      </w:r>
    </w:p>
    <w:p w:rsidR="00244569" w:rsidRPr="0047375F" w:rsidRDefault="00244569" w:rsidP="008F0FDA">
      <w:pPr>
        <w:pStyle w:val="Akapitzlist"/>
        <w:numPr>
          <w:ilvl w:val="0"/>
          <w:numId w:val="18"/>
        </w:numPr>
        <w:spacing w:after="120" w:line="240" w:lineRule="auto"/>
        <w:ind w:left="567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obciążenie z tego wynikające nie wyklucza możliwości prawidłowej i efektywnej realizacji wszystkich zadań powierzonych danej osobie, </w:t>
      </w:r>
    </w:p>
    <w:p w:rsidR="00244569" w:rsidRPr="0047375F" w:rsidRDefault="00244569" w:rsidP="008F0FDA">
      <w:pPr>
        <w:pStyle w:val="Akapitzlist"/>
        <w:numPr>
          <w:ilvl w:val="0"/>
          <w:numId w:val="18"/>
        </w:numPr>
        <w:spacing w:after="120" w:line="240" w:lineRule="auto"/>
        <w:ind w:left="567" w:hanging="357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łączne zaangażowanie osoby (niezależnie od formy zaangażowania, w tym umowa o</w:t>
      </w:r>
      <w:r w:rsidR="00A747D1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pracę, umowa cywilnoprawna, wolontariat) , w realizację wszystkich projektów /zadań finansowanych z PFRON oraz działań finansowanych z innych źródeł, w tym środków własnych Wnioskodawcy, nie przekracza 276 godzin miesięcznie. Do limitu godzin wlicza się czas nieobecności pracownika związanej ze zwolnieniami lekarskimi i urlopem wypoczynkowym, nie wlicza się natomiast czasu nieobecności pracownika związanej z urlopem bezpłatnym.</w:t>
      </w:r>
    </w:p>
    <w:p w:rsidR="00283B84" w:rsidRPr="0047375F" w:rsidRDefault="00244569" w:rsidP="008F0FD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zaangażowana w realizację projektu prowadzi ewidencję godzin oraz zadań wykonanych w ramach tego projektu. Ewidencja może podlegać weryfikacji przez PFRON</w:t>
      </w:r>
      <w:r w:rsidR="00283B84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244569" w:rsidRPr="0047375F" w:rsidRDefault="00244569" w:rsidP="008F0FD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Ewidencja może podlegać weryfikacji przez PFRON. Z ewidencji musi wynikać jakie zadania, w ramach jakiej umowy i w jakich godzinach wykonywała dana osoba każdego dnia (nie jest wymagane szczegółowe wykazywanie poszczególnych czynności w ramach danej umowy). Osoby zatrudnione w więcej niż jednym projekcie dofinansowanym ze środków PFRON zobowiązane są udostępnić PFRON ewidencję godzin oraz zadań wykonywanych w projektach, których realizatorem nie jest Wnioskodawca (w odniesieniu do okresu realizacji projektu Wnioskodawcy).</w:t>
      </w:r>
    </w:p>
    <w:p w:rsidR="00684019" w:rsidRPr="0047375F" w:rsidRDefault="00684019" w:rsidP="008F0FD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Do kategorii kosztów osobowych nie są zaliczane koszty związane ze zleceniem usług podmiotom prowadzącym działalność gospodarczą. Warunek ten nie dotyczy osób fizycznych prowadzących działalność gospodarczą (nie będących Wnioskodawcą), wykonujących osobiście zadania w ramach projektu. Osoby fizyczne prowadzące działalność gospodarczą traktowane są jako personel projektu, a koszty ich wynagrodzenia wykazywane są w kosztach osobowych. Osoby fizyczne prowadzące działalność gospodarczą zobowiązane są prowadzić ewidencję godzin oraz zadań wykonanych w ramach projektu (w budżecie projektu, w</w:t>
      </w:r>
      <w:r w:rsidR="00194803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podstawie kalkulacji kosztu winna być przedstawiona stawka za godzinę pracy).  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pStyle w:val="Nagwek3"/>
        <w:numPr>
          <w:ilvl w:val="0"/>
          <w:numId w:val="0"/>
        </w:numPr>
        <w:spacing w:line="240" w:lineRule="auto"/>
        <w:ind w:left="284"/>
        <w:rPr>
          <w:rFonts w:asciiTheme="minorHAnsi" w:hAnsiTheme="minorHAnsi" w:cstheme="minorHAnsi"/>
          <w:sz w:val="24"/>
        </w:rPr>
      </w:pPr>
      <w:bookmarkStart w:id="13" w:name="_Toc2947509"/>
      <w:r w:rsidRPr="0047375F">
        <w:rPr>
          <w:rFonts w:asciiTheme="minorHAnsi" w:hAnsiTheme="minorHAnsi" w:cstheme="minorHAnsi"/>
          <w:sz w:val="24"/>
        </w:rPr>
        <w:t>P - Koszty publikacji</w:t>
      </w:r>
      <w:bookmarkEnd w:id="13"/>
      <w:r w:rsidRPr="0047375F">
        <w:rPr>
          <w:rFonts w:asciiTheme="minorHAnsi" w:hAnsiTheme="minorHAnsi" w:cstheme="minorHAnsi"/>
          <w:sz w:val="24"/>
        </w:rPr>
        <w:t xml:space="preserve"> 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ramach kategorii kwalifikowalne są koszty opublikowania raportów oraz innych publikacji związanych z projektem.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3"/>
        </w:rPr>
      </w:pPr>
    </w:p>
    <w:p w:rsidR="00684019" w:rsidRPr="0047375F" w:rsidRDefault="00684019" w:rsidP="008F0FDA">
      <w:pPr>
        <w:pStyle w:val="Nagwek3"/>
        <w:numPr>
          <w:ilvl w:val="0"/>
          <w:numId w:val="0"/>
        </w:numPr>
        <w:spacing w:line="240" w:lineRule="auto"/>
        <w:ind w:left="284"/>
        <w:rPr>
          <w:rFonts w:asciiTheme="minorHAnsi" w:hAnsiTheme="minorHAnsi" w:cstheme="minorHAnsi"/>
          <w:sz w:val="24"/>
        </w:rPr>
      </w:pPr>
      <w:bookmarkStart w:id="14" w:name="_Toc2947510"/>
      <w:r w:rsidRPr="0047375F">
        <w:rPr>
          <w:rFonts w:asciiTheme="minorHAnsi" w:hAnsiTheme="minorHAnsi" w:cstheme="minorHAnsi"/>
          <w:sz w:val="24"/>
        </w:rPr>
        <w:t>PM - Koszty podróży służbowych personelu merytorycznego</w:t>
      </w:r>
      <w:bookmarkEnd w:id="14"/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kategorii kwalifikowalne są związane z realizacją projektu koszty podróży służbowych poza miejscowością, w której znajduje się siedziba pracodawcy lub poza stałym miejscem pracy pracownika oraz związane z nimi koszty wyżywienia i zakwaterowania personelu merytorycznego.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pStyle w:val="Nagwek3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4"/>
        </w:rPr>
      </w:pPr>
      <w:bookmarkStart w:id="15" w:name="_Toc2947511"/>
      <w:r w:rsidRPr="0047375F">
        <w:rPr>
          <w:rFonts w:asciiTheme="minorHAnsi" w:hAnsiTheme="minorHAnsi" w:cstheme="minorHAnsi"/>
          <w:sz w:val="24"/>
        </w:rPr>
        <w:t>ZM – koszty usług zlecanych w zakresie zadań merytorycznych</w:t>
      </w:r>
      <w:bookmarkEnd w:id="15"/>
    </w:p>
    <w:p w:rsidR="00684019" w:rsidRPr="0047375F" w:rsidRDefault="00684019" w:rsidP="007614BA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Łączna kwota kosztów usług zlecanych wykonawcom zewnętrznym nie może przekroczyć 25% całkowitych kosztów kwalifikowalnych projektu.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tej kategorii kwalifikowalne są koszty podwykonawstwa, rozumianego jako zlecanie stronie trzeciej części merytorycznych prac projektu, które nie są wykonywane na terenie i pod bezpośrednim nadzorem Wnioskodawcy. Dopuszczalny jest tylko jeden poziom zlecania zadań.</w:t>
      </w:r>
    </w:p>
    <w:p w:rsidR="00684019" w:rsidRPr="0047375F" w:rsidRDefault="00684019" w:rsidP="007614B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Wykonawcą zewnętrznym nie może być osoba prawna lub inny podmiot wchodzący w skład struktury organizacyjnej Wnioskodawcy. W przypadku wniosku wspólnego wykonawcą zewnętrznym nie może być również żaden z Wnioskodawców składających wniosek wspólny.</w:t>
      </w:r>
    </w:p>
    <w:p w:rsidR="00684019" w:rsidRPr="0047375F" w:rsidRDefault="00684019" w:rsidP="007614B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Wybór wykonawcy zewnętrznego musi zostać dokonany z zachowaniem przepisów o zamówieniach publicznych w zakresie w jakim ustawa z dnia 29 stycznia 2004 r. Prawo zamówień publicznych (Dz. U. z 201</w:t>
      </w:r>
      <w:r w:rsidR="0052387B" w:rsidRPr="0047375F">
        <w:rPr>
          <w:rFonts w:asciiTheme="minorHAnsi" w:eastAsia="Franklin Gothic Medium" w:hAnsiTheme="minorHAnsi" w:cstheme="minorHAnsi"/>
          <w:sz w:val="24"/>
          <w:szCs w:val="24"/>
        </w:rPr>
        <w:t>8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r. poz. 1</w:t>
      </w:r>
      <w:r w:rsidR="0052387B" w:rsidRPr="0047375F">
        <w:rPr>
          <w:rFonts w:asciiTheme="minorHAnsi" w:eastAsia="Franklin Gothic Medium" w:hAnsiTheme="minorHAnsi" w:cstheme="minorHAnsi"/>
          <w:sz w:val="24"/>
          <w:szCs w:val="24"/>
        </w:rPr>
        <w:t>986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z </w:t>
      </w:r>
      <w:proofErr w:type="spellStart"/>
      <w:r w:rsidRPr="0047375F">
        <w:rPr>
          <w:rFonts w:asciiTheme="minorHAnsi" w:eastAsia="Franklin Gothic Medium" w:hAnsiTheme="minorHAnsi" w:cstheme="minorHAnsi"/>
          <w:sz w:val="24"/>
          <w:szCs w:val="24"/>
        </w:rPr>
        <w:t>późn</w:t>
      </w:r>
      <w:proofErr w:type="spellEnd"/>
      <w:r w:rsidRPr="0047375F">
        <w:rPr>
          <w:rFonts w:asciiTheme="minorHAnsi" w:eastAsia="Franklin Gothic Medium" w:hAnsiTheme="minorHAnsi" w:cstheme="minorHAnsi"/>
          <w:sz w:val="24"/>
          <w:szCs w:val="24"/>
        </w:rPr>
        <w:t>. zm.), zobowiązuje Wnioskodawcę do jej stosowania.</w:t>
      </w:r>
    </w:p>
    <w:p w:rsidR="00684019" w:rsidRPr="0047375F" w:rsidRDefault="00684019" w:rsidP="007614B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Wnioskodawca, który nie jest zobowiązany do stosowania przepisów ustawy z dnia 29 stycznia 2004 r. Prawo zamówień publicznych (Dz. U. z 201</w:t>
      </w:r>
      <w:r w:rsidR="0052387B" w:rsidRPr="0047375F">
        <w:rPr>
          <w:rFonts w:asciiTheme="minorHAnsi" w:eastAsia="Franklin Gothic Medium" w:hAnsiTheme="minorHAnsi" w:cstheme="minorHAnsi"/>
          <w:sz w:val="24"/>
          <w:szCs w:val="24"/>
        </w:rPr>
        <w:t>8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r. poz. 1</w:t>
      </w:r>
      <w:r w:rsidR="0052387B" w:rsidRPr="0047375F">
        <w:rPr>
          <w:rFonts w:asciiTheme="minorHAnsi" w:eastAsia="Franklin Gothic Medium" w:hAnsiTheme="minorHAnsi" w:cstheme="minorHAnsi"/>
          <w:sz w:val="24"/>
          <w:szCs w:val="24"/>
        </w:rPr>
        <w:t>986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z </w:t>
      </w:r>
      <w:proofErr w:type="spellStart"/>
      <w:r w:rsidRPr="0047375F">
        <w:rPr>
          <w:rFonts w:asciiTheme="minorHAnsi" w:eastAsia="Franklin Gothic Medium" w:hAnsiTheme="minorHAnsi" w:cstheme="minorHAnsi"/>
          <w:sz w:val="24"/>
          <w:szCs w:val="24"/>
        </w:rPr>
        <w:t>późn</w:t>
      </w:r>
      <w:proofErr w:type="spellEnd"/>
      <w:r w:rsidRPr="0047375F">
        <w:rPr>
          <w:rFonts w:asciiTheme="minorHAnsi" w:eastAsia="Franklin Gothic Medium" w:hAnsiTheme="minorHAnsi" w:cstheme="minorHAnsi"/>
          <w:sz w:val="24"/>
          <w:szCs w:val="24"/>
        </w:rPr>
        <w:t>. zm.), zobligowany jest do ponoszenia kosztów w ramach projektu zgodnie z zasadą konkurencyjności.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pStyle w:val="Nagwek3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4"/>
        </w:rPr>
      </w:pPr>
      <w:bookmarkStart w:id="16" w:name="_Toc2947512"/>
      <w:r w:rsidRPr="0047375F">
        <w:rPr>
          <w:rFonts w:asciiTheme="minorHAnsi" w:hAnsiTheme="minorHAnsi" w:cstheme="minorHAnsi"/>
          <w:sz w:val="24"/>
        </w:rPr>
        <w:t xml:space="preserve">ŚT - Koszty środków trwałych i </w:t>
      </w:r>
      <w:proofErr w:type="spellStart"/>
      <w:r w:rsidRPr="0047375F">
        <w:rPr>
          <w:rFonts w:asciiTheme="minorHAnsi" w:hAnsiTheme="minorHAnsi" w:cstheme="minorHAnsi"/>
          <w:sz w:val="24"/>
        </w:rPr>
        <w:t>WNiP</w:t>
      </w:r>
      <w:bookmarkEnd w:id="16"/>
      <w:proofErr w:type="spellEnd"/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Łączna kwota kosztów środków trwałych i </w:t>
      </w:r>
      <w:proofErr w:type="spellStart"/>
      <w:r w:rsidRPr="0047375F">
        <w:rPr>
          <w:rFonts w:asciiTheme="minorHAnsi" w:eastAsia="Franklin Gothic Medium" w:hAnsiTheme="minorHAnsi" w:cstheme="minorHAnsi"/>
          <w:sz w:val="24"/>
          <w:szCs w:val="24"/>
        </w:rPr>
        <w:t>WNiP</w:t>
      </w:r>
      <w:proofErr w:type="spellEnd"/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nie może przekroczyć 10% całkowitych kosztów kwalifikowalnych projektu.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W ramach kosztów inwestycyjnych wykazywane są koszty dotyczące środków trwałych, wartości niematerialnych i prawnych, których wartość początkowa przekracza 10.000 zł,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br/>
        <w:t>a przewidywalny okres ich ekonomicznej użyteczności jest dłuższy niż 1 rok.</w:t>
      </w:r>
    </w:p>
    <w:p w:rsidR="00684019" w:rsidRPr="0047375F" w:rsidRDefault="00684019" w:rsidP="008F0FDA">
      <w:pPr>
        <w:spacing w:before="120"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ramach tej kategorii kwalifikowalne są:</w:t>
      </w:r>
    </w:p>
    <w:p w:rsidR="00684019" w:rsidRPr="0047375F" w:rsidRDefault="00684019" w:rsidP="007614B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aparatury naukowo-badawczej i innych urządzeń służących celom badawczym,</w:t>
      </w:r>
    </w:p>
    <w:p w:rsidR="00684019" w:rsidRPr="0047375F" w:rsidRDefault="00684019" w:rsidP="007614BA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wartości niematerialnych i prawnych (</w:t>
      </w:r>
      <w:proofErr w:type="spellStart"/>
      <w:r w:rsidRPr="0047375F">
        <w:rPr>
          <w:rFonts w:asciiTheme="minorHAnsi" w:eastAsia="Franklin Gothic Medium" w:hAnsiTheme="minorHAnsi" w:cstheme="minorHAnsi"/>
          <w:sz w:val="24"/>
          <w:szCs w:val="24"/>
        </w:rPr>
        <w:t>WNiP</w:t>
      </w:r>
      <w:proofErr w:type="spellEnd"/>
      <w:r w:rsidRPr="0047375F">
        <w:rPr>
          <w:rFonts w:asciiTheme="minorHAnsi" w:eastAsia="Franklin Gothic Medium" w:hAnsiTheme="minorHAnsi" w:cstheme="minorHAnsi"/>
          <w:sz w:val="24"/>
          <w:szCs w:val="24"/>
        </w:rPr>
        <w:t>) w formie patentów, licencji, know-how i nieopatentowanej wiedzy technicznej. Jeżeli zakupione wartości niematerialne i prawne (</w:t>
      </w:r>
      <w:proofErr w:type="spellStart"/>
      <w:r w:rsidRPr="0047375F">
        <w:rPr>
          <w:rFonts w:asciiTheme="minorHAnsi" w:eastAsia="Franklin Gothic Medium" w:hAnsiTheme="minorHAnsi" w:cstheme="minorHAnsi"/>
          <w:sz w:val="24"/>
          <w:szCs w:val="24"/>
        </w:rPr>
        <w:t>WNiP</w:t>
      </w:r>
      <w:proofErr w:type="spellEnd"/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) nie są wykorzystywane w 100% na potrzeby projektu i/lub ich całkowity okres dokonywania odpisów amortyzacyjnych nie pokrywa się z okresem realizacji projektu, kosztem kwalifikowalnym są odpisy amortyzacyjne z tytułu spadku wartości danej </w:t>
      </w:r>
      <w:proofErr w:type="spellStart"/>
      <w:r w:rsidRPr="0047375F">
        <w:rPr>
          <w:rFonts w:asciiTheme="minorHAnsi" w:eastAsia="Franklin Gothic Medium" w:hAnsiTheme="minorHAnsi" w:cstheme="minorHAnsi"/>
          <w:sz w:val="24"/>
          <w:szCs w:val="24"/>
        </w:rPr>
        <w:t>WNiP</w:t>
      </w:r>
      <w:proofErr w:type="spellEnd"/>
      <w:r w:rsidRPr="0047375F">
        <w:rPr>
          <w:rFonts w:asciiTheme="minorHAnsi" w:eastAsia="Franklin Gothic Medium" w:hAnsiTheme="minorHAnsi" w:cstheme="minorHAnsi"/>
          <w:sz w:val="24"/>
          <w:szCs w:val="24"/>
        </w:rPr>
        <w:t>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 zakupu lub wytworzenia aparatury/urządzeń służących celom badawczym jest kosztem kwalifikowalnym projektu jeżeli koszt ten dotyczy środka, który jest niezbędny do prawidłowej realizacji projektu i jest bezpośrednio wykorzystywany do jego realizacji oraz są spełnione łącznie następujące warunki:</w:t>
      </w:r>
    </w:p>
    <w:p w:rsidR="00684019" w:rsidRPr="0047375F" w:rsidRDefault="00684019" w:rsidP="007614B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środek trwały jest włączony w rejestr środków trwałych podmiotu dokonującego zakupu,</w:t>
      </w:r>
    </w:p>
    <w:p w:rsidR="00684019" w:rsidRPr="0047375F" w:rsidRDefault="00684019" w:rsidP="007614B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zakup został zaplanowany we wniosku wraz z merytorycznym uzasadnieniem,</w:t>
      </w:r>
    </w:p>
    <w:p w:rsidR="00684019" w:rsidRPr="0047375F" w:rsidRDefault="00684019" w:rsidP="00761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Wnioskodawca nie dysponuje aparaturą/środkiem trwałym, który mógłby zostać użyty zamiennie.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Odpisy amortyzacyjne z tytułu spadku wartości aparatury stanowią koszt kwalifikowalny, jeżeli spełnione są łącznie następujące warunki:</w:t>
      </w:r>
    </w:p>
    <w:p w:rsidR="00684019" w:rsidRPr="0047375F" w:rsidRDefault="00684019" w:rsidP="007614B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aparatura jest niezbędna do prawidłowej realizacji projektu i bezpośrednio wykorzystywana w związku z projektem,</w:t>
      </w:r>
    </w:p>
    <w:p w:rsidR="00684019" w:rsidRPr="0047375F" w:rsidRDefault="00684019" w:rsidP="007614BA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aparatura, inne urządzenia (sprzęt), służące celom badawczym są ewidencjonowane w</w:t>
      </w:r>
      <w:r w:rsidR="00C1215C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rejestrze środków trwałych podmiotów dokonujących ich zakupu.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Kwalifikowalna wartość odpisów amortyzacyjnych odnosi się wyłącznie do okresu realizacji projektu oraz proporcji wykorzystania środka przy realizacji projektu. 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ponoszone w ramach odpłatnego korzystania z aparatury stanowią koszty kwalifikowalne w zakresie niezbędnym i przez okres niezbędny do realizacji projektu objętego pomocą.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przypadku leasingu operacyjnego kwalifikowalne są tylko raty kapitałowe (bez części odsetkowej i innych opłat), zaś w przypadku leasingu finansowego odpisy amortyzacyjne.</w:t>
      </w:r>
    </w:p>
    <w:p w:rsidR="00684019" w:rsidRPr="0047375F" w:rsidRDefault="00684019" w:rsidP="008F0FDA">
      <w:pPr>
        <w:pStyle w:val="Nagwek2"/>
        <w:spacing w:line="240" w:lineRule="auto"/>
        <w:rPr>
          <w:rFonts w:asciiTheme="minorHAnsi" w:hAnsiTheme="minorHAnsi" w:cstheme="minorHAnsi"/>
        </w:rPr>
      </w:pPr>
      <w:bookmarkStart w:id="17" w:name="_Toc2947513"/>
      <w:r w:rsidRPr="0047375F">
        <w:rPr>
          <w:rFonts w:asciiTheme="minorHAnsi" w:hAnsiTheme="minorHAnsi" w:cstheme="minorHAnsi"/>
        </w:rPr>
        <w:t>Koszty ogólne</w:t>
      </w:r>
      <w:bookmarkEnd w:id="17"/>
    </w:p>
    <w:p w:rsidR="00684019" w:rsidRPr="0047375F" w:rsidRDefault="00684019" w:rsidP="008F0FDA">
      <w:pPr>
        <w:pStyle w:val="Nagwek3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 w:cstheme="minorHAnsi"/>
          <w:sz w:val="24"/>
        </w:rPr>
      </w:pPr>
      <w:bookmarkStart w:id="18" w:name="_Toc422399178"/>
      <w:bookmarkStart w:id="19" w:name="_Toc2947514"/>
      <w:r w:rsidRPr="0047375F">
        <w:rPr>
          <w:rFonts w:asciiTheme="minorHAnsi" w:hAnsiTheme="minorHAnsi" w:cstheme="minorHAnsi"/>
          <w:sz w:val="24"/>
        </w:rPr>
        <w:t xml:space="preserve">WA - Koszty </w:t>
      </w:r>
      <w:bookmarkEnd w:id="18"/>
      <w:r w:rsidRPr="0047375F">
        <w:rPr>
          <w:rFonts w:asciiTheme="minorHAnsi" w:hAnsiTheme="minorHAnsi" w:cstheme="minorHAnsi"/>
          <w:sz w:val="24"/>
        </w:rPr>
        <w:t>osobowe personelu administracyjnego</w:t>
      </w:r>
      <w:bookmarkEnd w:id="19"/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Łączna kwota kosztów osobowych personelu administracyjnego nie może przekroczyć 10% całkowitych kosztów kwalifikowalnych projektu.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ramach kategorii kwalifikowalne są koszty wynagrodzeń wraz z pozapłacowymi kosztami pracy, w tym składkami na ubezpieczenia społeczne i zdrowotne, osób zatrudnionych przy realizacji części administracyjnej projektu (np. kierownik/koordynator projektu, osoby wykonujące zadania administracyjno-nadzorczo-kontrolne, księgowy), w części, w jakiej wynagrodzenia te są bezpośrednio związane z realizacją projektu objętego dofinansowaniem.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 kwalifikowalny stanowią poniższe składniki płacowe i pozapłacowe wynagrodzenia personelu, proporcjonalnie do zaangażowania pracownika w projekcie: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wynagrodzenie zasadnicze;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narzuty na wynagrodzenia po stronie pracodawcy, w tym: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emerytalna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rentowa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wypadkowa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Fundusz Gwarantowanych Świadczeń Pracowniczych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Fundusz Pracy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narzuty na wynagrodzenia po stronie pracownika, w tym: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ubezpieczenie emerytalne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ubezpieczenie rentowe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na ubezpieczenie chorobowe</w:t>
      </w:r>
    </w:p>
    <w:p w:rsidR="00684019" w:rsidRPr="0047375F" w:rsidRDefault="00684019" w:rsidP="00205C4F">
      <w:pPr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ind w:left="106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składka zdrowotna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zaliczka na podatek dochodowy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wynagrodzenie za czas niezdolności do pracy, zgodnie z obowiązującymi przepisami w zakresie ubezpieczeń społecznych;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wynagrodzenie za okres urlopu wypoczynkowego;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dodatek stażowy;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lastRenderedPageBreak/>
        <w:t>odpisy na Zakładowy Fundusz Świadczeń Socjalnych;</w:t>
      </w:r>
    </w:p>
    <w:p w:rsidR="00684019" w:rsidRPr="0047375F" w:rsidRDefault="00684019" w:rsidP="00205C4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dodatek funkcyjny za sprawowanie stanowiska kierowniczego, wypłacany w stałej wysokości, o ile dotyczy funkcji sprawowanej w ramach projektu.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wynagrodzenia pracownika zatrudnionego na podstawie stosunku pracy, są kwalifikowalne o ile pracownik jest zatrudniony lub oddelegowany w celu realizacji zadań związanych bezpośrednio z realizacją projektu (pod pojęciem „oddelegowania” należy rozumieć zmianę obowiązków służbowych pracownika na okres realizacji projektu), co jest odpowiednio udokumentowane postanowieniami umowy o pracę lub zakresem czynności służbowych pracownika lub opisem stanowiska pracy (przez odpowiednie udokumentowanie należy rozumieć m.in. wskazanie w ww. dokumentach nazwy projektu oraz wszystkich zadań, które dana osoba będzie wykonywała</w:t>
      </w:r>
      <w:r w:rsidR="007C38D0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w ramach tego projektu).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sytuacji, gdy Wnioskodawca zatrudnia do realizacji projektu osobę niepełnosprawną, za kwalifikowalne uznaje się wynagrodzenie pomniejszone o miesięczne dofinansowanie do wynagrodzenia tego pracownika, uzyskane przez Wnioskodawcę w ramach art. 26a ustawy z</w:t>
      </w:r>
      <w:r w:rsidR="00136BCC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dnia 27 sierpnia 1997 r. o rehabilitacji zawodowej i społecznej oraz zatrudnianiu osób niepełnosprawnych.</w:t>
      </w:r>
    </w:p>
    <w:p w:rsidR="00743D60" w:rsidRPr="0047375F" w:rsidRDefault="00743D60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Koszty wynagrodzenia pracowników Wnioskodawcy, jednocześnie zatrudnionych w ramach umowy o dzieło lub umowy zlecenia na potrzeby realizacji projektu, są kwalifikowalne o ile: </w:t>
      </w:r>
    </w:p>
    <w:p w:rsidR="00684019" w:rsidRPr="0047375F" w:rsidRDefault="00684019" w:rsidP="007614BA">
      <w:pPr>
        <w:numPr>
          <w:ilvl w:val="0"/>
          <w:numId w:val="14"/>
        </w:numPr>
        <w:spacing w:after="120" w:line="240" w:lineRule="auto"/>
        <w:ind w:left="426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zakres zadań zleconych w formie umowy o dzieło lub umowy zlecenia dotyczy bezpośrednio realizacji projektu, </w:t>
      </w:r>
    </w:p>
    <w:p w:rsidR="00684019" w:rsidRPr="0047375F" w:rsidRDefault="00684019" w:rsidP="007614BA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w ramach czynności służbowych wynikających ze stosunku pracy pracownik nie realizuje żadnych zadań związanych z projektem, co musi zostać udokumentowane postanowieniami umowy o pracę lub zakresem czynności służbowych pracownika lub opisem stanowiska pracy. 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244569" w:rsidRPr="0047375F" w:rsidRDefault="00244569" w:rsidP="008F0FDA">
      <w:pPr>
        <w:spacing w:after="120" w:line="240" w:lineRule="auto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Koszty wynagrodzenia osoby zaangażowanej w realizację projektu są kwalifikowalne, o ile: </w:t>
      </w:r>
    </w:p>
    <w:p w:rsidR="00244569" w:rsidRPr="0047375F" w:rsidRDefault="00244569" w:rsidP="007614BA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obciążenie z tego wynikające nie wyklucza możliwości prawidłowej i efektywnej realizacji wszystkich zadań powierzonych danej osobie, </w:t>
      </w:r>
    </w:p>
    <w:p w:rsidR="00244569" w:rsidRPr="0047375F" w:rsidRDefault="00244569" w:rsidP="007614BA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łączne zaangażowanie osoby (niezależnie od formy zaangażowania, w tym umowa o</w:t>
      </w:r>
      <w:r w:rsidR="00A747D1" w:rsidRPr="0047375F">
        <w:rPr>
          <w:rFonts w:asciiTheme="minorHAnsi" w:eastAsia="Franklin Gothic Medium" w:hAnsiTheme="minorHAnsi" w:cstheme="minorHAnsi"/>
          <w:sz w:val="24"/>
          <w:szCs w:val="24"/>
        </w:rPr>
        <w:t> 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pracę, umowa cywilnoprawna, wolontariat) , w realizację wszystkich projektów /zadań finansowanych z PFRON oraz działań finansowanych z innych źródeł, w tym środków własnych Wnioskodawcy, nie przekracza 276 godzin miesięcznie. Do limitu godzin wlicza się czas nieobecności pracownika związanej ze zwolnieniami lekarskimi i urlopem wypoczynkowym, nie wlicza się natomiast czasu nieobecności pracownika związanej z urlopem bezpłatnym.</w:t>
      </w:r>
    </w:p>
    <w:p w:rsidR="00244569" w:rsidRPr="0047375F" w:rsidRDefault="00244569" w:rsidP="008F0FD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zaangażowana w realizację projektu prowadzi ewidencję godzin oraz zadań wykonanych w ramach tego projektu. Ewidencja może podlegać weryfikacji przez PFRON</w:t>
      </w:r>
    </w:p>
    <w:p w:rsidR="00244569" w:rsidRPr="0047375F" w:rsidRDefault="00244569" w:rsidP="008F0FD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Ewidencja może podlegać weryfikacji przez PFRON. Z ewidencji musi wynikać jakie zadania, w ramach jakiej umowy i w jakich godzinach wykonywała dana osoba każdego dnia (nie jest wymagane szczegółowe wykazywanie poszczególnych czynności w ramach danej umowy). Osoby zatrudnione w więcej niż jednym projekcie dofinansowanym ze środków PFRON zobowiązane są udostępnić PFRON ewidencję godzin oraz zadań wykonywanych w</w:t>
      </w:r>
      <w:r w:rsidR="00283B84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projektach, których realizatorem nie jest Wnioskodawca (w odniesieniu do okresu realizacji projektu Wnioskodawcy).</w:t>
      </w:r>
    </w:p>
    <w:p w:rsidR="00684019" w:rsidRPr="0047375F" w:rsidRDefault="00684019" w:rsidP="007614B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4019" w:rsidRPr="0047375F" w:rsidRDefault="00684019" w:rsidP="008F0FD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kategorii kosztów osobowych nie są zaliczane koszty związane ze zleceniem usług podmiotom prowadzącym działalność gospodarczą. Warunek ten nie dotyczy osób fizycznych prowadzących działalność gospodarczą (nie będących Wnioskodawcą), wykonujących osobiście zadania w ramach projektu. Osoby fizyczne prowadzące działalność gospodarczą traktowane są jako personel projektu, a koszty ich wynagrodzenia wykazywane są w kosztach osobowych. </w:t>
      </w:r>
    </w:p>
    <w:p w:rsidR="00684019" w:rsidRPr="0047375F" w:rsidRDefault="00684019" w:rsidP="008F0FDA">
      <w:pPr>
        <w:spacing w:before="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4019" w:rsidRPr="0047375F" w:rsidRDefault="00684019" w:rsidP="008F0FDA">
      <w:pPr>
        <w:pStyle w:val="Nagwek3"/>
        <w:numPr>
          <w:ilvl w:val="0"/>
          <w:numId w:val="12"/>
        </w:numPr>
        <w:spacing w:after="120" w:line="240" w:lineRule="auto"/>
        <w:ind w:left="714" w:hanging="357"/>
        <w:rPr>
          <w:rFonts w:asciiTheme="minorHAnsi" w:hAnsiTheme="minorHAnsi" w:cstheme="minorHAnsi"/>
          <w:sz w:val="24"/>
        </w:rPr>
      </w:pPr>
      <w:bookmarkStart w:id="20" w:name="_Toc2947515"/>
      <w:r w:rsidRPr="0047375F">
        <w:rPr>
          <w:rFonts w:asciiTheme="minorHAnsi" w:hAnsiTheme="minorHAnsi" w:cstheme="minorHAnsi"/>
          <w:sz w:val="24"/>
        </w:rPr>
        <w:t>KA - Koszty administracyjne</w:t>
      </w:r>
      <w:bookmarkEnd w:id="20"/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Suma kosztów w tej kategorii nie może przekroczyć 5% całkowitych kosztów kwalifikowalnych projektu.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W ramach tej kategorii kwalifikowalne są koszty ogólne ponoszone w związku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br/>
        <w:t>z realizacją projektu, w części dotyczącej realizacji tego projektu.</w:t>
      </w:r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 ramach kategorii kwalifikowalne są m.in. następujące rodzaje kosztów: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wynajmu lub utrzymania budynków, w tym: koszty wynajmu, czynszu, sprzątania i ochrony pomieszczeń,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utrzymania infrastruktury – koszty mediów (elektryczności, gazu, ogrzewania, wody), 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usługi pocztowe, telefoniczne, internetowe, kurierskie,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materiałów biurowych i piśmienniczych, usług drukarskich i ksero,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urządzeń i sprzętu biurowego,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uzyskania zabezpieczeń prawidłowej realizacji umowy zawartej z PFRON,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ubezpieczeń majątkowych,</w:t>
      </w:r>
    </w:p>
    <w:p w:rsidR="00684019" w:rsidRPr="0047375F" w:rsidRDefault="00684019" w:rsidP="007614BA">
      <w:pPr>
        <w:numPr>
          <w:ilvl w:val="0"/>
          <w:numId w:val="16"/>
        </w:numPr>
        <w:autoSpaceDE w:val="0"/>
        <w:autoSpaceDN w:val="0"/>
        <w:adjustRightInd w:val="0"/>
        <w:spacing w:before="40" w:after="40" w:line="240" w:lineRule="auto"/>
        <w:ind w:left="426" w:hanging="357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prowadzenia wyodrębnionego rachunku bankowego (prowizje i inne opłaty).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Koszty eksploatacji pomieszczeń (wraz z mediami) wskazanych przez Wnioskodawcę do realizacji projektu, w których Wnioskodawca prowadzi również inne zadania i projekty, mogą zostać uznane za kwalifikowalne w części przypadającej na projekt badawczy.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Wnioskodawca zobowiązany jest przedstawić we wniosku informacje pozwalające na dokonanie oceny kwalifikowalności kosztów, w tym informacje odnoszące się do podstawy wyliczenia kosztów.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  <w:highlight w:val="lightGray"/>
        </w:rPr>
      </w:pPr>
    </w:p>
    <w:p w:rsidR="00684019" w:rsidRPr="0047375F" w:rsidRDefault="00684019" w:rsidP="008F0FDA">
      <w:pPr>
        <w:pStyle w:val="Nagwek3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bookmarkStart w:id="21" w:name="_Toc2947516"/>
      <w:r w:rsidRPr="0047375F">
        <w:rPr>
          <w:rFonts w:asciiTheme="minorHAnsi" w:hAnsiTheme="minorHAnsi" w:cstheme="minorHAnsi"/>
          <w:sz w:val="24"/>
        </w:rPr>
        <w:t>ZO – koszty usług zlecanych w zakresie zadań innych niż merytoryczne</w:t>
      </w:r>
      <w:bookmarkEnd w:id="21"/>
    </w:p>
    <w:p w:rsidR="00684019" w:rsidRPr="0047375F" w:rsidRDefault="00684019" w:rsidP="008F0FD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Franklin Gothic Medium" w:hAnsiTheme="minorHAnsi" w:cstheme="minorHAnsi"/>
          <w:color w:val="333333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333333"/>
          <w:sz w:val="24"/>
          <w:szCs w:val="24"/>
        </w:rPr>
        <w:t xml:space="preserve">W ramach tej kategorii kwalifikowalne są koszty podwykonawstwa, rozumianego jako zlecanie stronie trzeciej zadań innych niż merytoryczne (np. koszty usług prawnych </w:t>
      </w:r>
      <w:r w:rsidRPr="0047375F">
        <w:rPr>
          <w:rFonts w:asciiTheme="minorHAnsi" w:eastAsia="Franklin Gothic Medium" w:hAnsiTheme="minorHAnsi" w:cstheme="minorHAnsi"/>
          <w:color w:val="333333"/>
          <w:sz w:val="24"/>
          <w:szCs w:val="24"/>
        </w:rPr>
        <w:br/>
        <w:t>i księgowych), które nie są wykonywane na terenie i pod bezpośrednim nadzorem Wnioskodawcy.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333333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333333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333333"/>
          <w:sz w:val="24"/>
          <w:szCs w:val="24"/>
        </w:rPr>
        <w:lastRenderedPageBreak/>
        <w:t>Przy wyborze podwykonawcy obowiązuje wymóg przestrzegania przepisów dotyczących zamówień publicznych/zasady konkurencyjności. Dopuszczalny jest tylko jeden poziom zlecania zadań.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pStyle w:val="Nagwek3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bookmarkStart w:id="22" w:name="_Toc2947517"/>
      <w:r w:rsidRPr="0047375F">
        <w:rPr>
          <w:rFonts w:asciiTheme="minorHAnsi" w:hAnsiTheme="minorHAnsi" w:cstheme="minorHAnsi"/>
          <w:sz w:val="24"/>
        </w:rPr>
        <w:t>PA - Koszty podróży służbowych personelu administracyjnego</w:t>
      </w:r>
      <w:bookmarkEnd w:id="22"/>
    </w:p>
    <w:p w:rsidR="00684019" w:rsidRPr="0047375F" w:rsidRDefault="00684019" w:rsidP="008F0FDA">
      <w:pPr>
        <w:spacing w:before="120"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ramach kategorii kwalifikowalne są związane z realizacją projektu koszty podróży służbowych poza miejscowością, w której znajduje się siedziba pracodawcy lub poza stałym miejscem pracy pracownika administracyjnego oraz związane z tymi podróżami koszty wyżywienia i zakwaterowania.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pStyle w:val="Nagwek3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bookmarkStart w:id="23" w:name="_Toc2947518"/>
      <w:r w:rsidRPr="0047375F">
        <w:rPr>
          <w:rFonts w:asciiTheme="minorHAnsi" w:hAnsiTheme="minorHAnsi" w:cstheme="minorHAnsi"/>
          <w:sz w:val="24"/>
        </w:rPr>
        <w:t>A - Koszty audytu zewnętrznego</w:t>
      </w:r>
      <w:bookmarkEnd w:id="23"/>
    </w:p>
    <w:p w:rsidR="00684019" w:rsidRPr="0047375F" w:rsidRDefault="00684019" w:rsidP="008F0FDA">
      <w:pPr>
        <w:spacing w:before="120"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ramach kategorii kwalifikowalne są koszty audytu zewnętrznego wymaganego przez PFRON, zgodnie z wytycznymi określonymi przez Zarząd PFRON, przy czym za kwalifikowalny uznawany jest koszt audytu nie przekraczający 2% całkowitych kosztów kwalifikowalnych projektu.</w:t>
      </w:r>
    </w:p>
    <w:p w:rsidR="00684019" w:rsidRPr="0047375F" w:rsidRDefault="00684019" w:rsidP="0047375F">
      <w:pPr>
        <w:pStyle w:val="Nagwek1"/>
      </w:pPr>
      <w:bookmarkStart w:id="24" w:name="_Toc2947519"/>
      <w:r w:rsidRPr="0047375F">
        <w:t>Zasada konkurencyjności</w:t>
      </w:r>
      <w:bookmarkEnd w:id="24"/>
    </w:p>
    <w:p w:rsidR="00F9073A" w:rsidRPr="0047375F" w:rsidRDefault="00F9073A" w:rsidP="008F0FD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Zasada konkurencyjności dotyczy wszystkich zamówień wykonywanych przez wykonawcę na rzecz Wnioskodawcy w ramach projektu, których wartość przekracza wyrażoną w złotych </w:t>
      </w:r>
      <w:r w:rsidR="00014935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kwotę 20 tys. zł</w:t>
      </w: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netto (tj. bez podatku VAT). Pod pojęciem „zamówienia” należy rozumieć odpłatną umowę zawieraną pomiędzy Wnioskodawcą a wykonawcą, której przedmiotem są usługi, dostawy lub roboty budowlane. Zasady konkurencyjności nie stosuje się do zamówień dotyczących zadań wykonywanych przez personel zarządzający projektu, a także do zamówień dotyczących zadań wykonywanych przez personel projektu, z którym Wnioskodawca w okresie co najmniej jednego roku przed złożeniem wniosku współpracował w sposób ciągły lub powtarzalny.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4019" w:rsidRPr="0047375F" w:rsidRDefault="00684019" w:rsidP="007614B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Koszty usług zlecanych sumowane są w ramach danego projektu realizowanego przez Wnioskodawcę. Wnioskodawca zobowiązany jest przeanalizować budżet projektu w celu zidentyfikowania tych usług, które mogą skutkować przekroczeniem progu, dla którego zasada konkurencyjności jest obowiązkowa.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Łączne spełnienie następujących kryteriów pozwala na ustalenie przez Wnioskodawcę, czy w</w:t>
      </w:r>
      <w:r w:rsidR="0015158B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przypadku zlecenia usług występuje jedno zamówienie, czy też odrębne zamówienia: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tożsamość przedmiotowa zamówienia – usługi tego samego rodzaju i o tym samym przeznaczeniu,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tożsamość czasowa zamówienia – możliwe udzielenie zamówienia w tym samym czasie,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tożsamość podmiotowa zamówienia – możliwość wykonania zamówienia przez jednego wykonawcę.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Zgodnie z zasadą konkurencyjności Wnioskodawca zobowiązany jest do:</w:t>
      </w:r>
    </w:p>
    <w:p w:rsidR="00684019" w:rsidRPr="0047375F" w:rsidRDefault="00684019" w:rsidP="007614BA">
      <w:pPr>
        <w:numPr>
          <w:ilvl w:val="0"/>
          <w:numId w:val="13"/>
        </w:numPr>
        <w:spacing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upublicznienia zapytania ofertowego – jeżeli Wnioskodawca posiada stronę internetową zobowiązany jest do zamieszczenia zapytania ofertowego na swojej stronie internetowej, </w:t>
      </w:r>
    </w:p>
    <w:p w:rsidR="00684019" w:rsidRPr="0047375F" w:rsidRDefault="00684019" w:rsidP="007614BA">
      <w:pPr>
        <w:numPr>
          <w:ilvl w:val="0"/>
          <w:numId w:val="13"/>
        </w:numPr>
        <w:spacing w:after="12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wysłania zapytania ofertowego do co najmniej trzech potencjalnych wykonawców o</w:t>
      </w:r>
      <w:r w:rsidR="0015158B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ile na rynku istnieje trzech potencjalnych wykonawców danego zamówienia.</w:t>
      </w:r>
    </w:p>
    <w:p w:rsidR="00684019" w:rsidRPr="0047375F" w:rsidRDefault="00684019" w:rsidP="008F0FDA">
      <w:pPr>
        <w:spacing w:after="0" w:line="24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684019" w:rsidRPr="0047375F" w:rsidRDefault="00684019" w:rsidP="008F0FD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Zapytanie ofertowe powinno zawierać w szczególności: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opis przedmiotu zamówienia,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kryteria oceny oferty,</w:t>
      </w:r>
    </w:p>
    <w:p w:rsidR="00F9073A" w:rsidRPr="0047375F" w:rsidRDefault="00F9073A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informację na temat wag punktowych lub procentowych przypisanych do poszczególnych kryteriów oceny oferty;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informację na temat skali ocen przyznawanych za spełnienie danego kryterium, 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informację na temat zakresu wykluczenia z możliwości realizacji zamówienia,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tryb składania ofert oraz powiadamiania oferentów o wynikach prowadzonego postępowania w sprawie zamówienia,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 składania ofert, termin ten nie może być krótszy niż 5 dni roboczych od dnia upublicznienia zapytania ofertowego (w przypadku ofert składanych drogą pocztową powinna decydować data stempla pocztowego); </w:t>
      </w:r>
      <w:r w:rsidR="0015158B"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684019" w:rsidRPr="007614BA" w:rsidRDefault="00684019" w:rsidP="007614BA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684019" w:rsidRPr="0047375F" w:rsidRDefault="00684019" w:rsidP="008F0FDA">
      <w:pPr>
        <w:spacing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Dopuszcza się możliwość dzielenia zamówienia, tj. powierzenia wykonania danej usługi kilku wykonawcom. Jeżeli suma części zamówienia przekracza </w:t>
      </w:r>
      <w:r w:rsidR="00014935" w:rsidRPr="0047375F">
        <w:rPr>
          <w:rFonts w:asciiTheme="minorHAnsi" w:eastAsia="Franklin Gothic Medium" w:hAnsiTheme="minorHAnsi" w:cstheme="minorHAnsi"/>
          <w:sz w:val="24"/>
          <w:szCs w:val="24"/>
        </w:rPr>
        <w:t>kwotę 20 tys</w:t>
      </w:r>
      <w:r w:rsidR="00F90331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. </w:t>
      </w:r>
      <w:r w:rsidR="00014935" w:rsidRPr="0047375F">
        <w:rPr>
          <w:rFonts w:asciiTheme="minorHAnsi" w:eastAsia="Franklin Gothic Medium" w:hAnsiTheme="minorHAnsi" w:cstheme="minorHAnsi"/>
          <w:sz w:val="24"/>
          <w:szCs w:val="24"/>
        </w:rPr>
        <w:t>zł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, Wnioskodawca zobowiązany jest do stosowania zasady konkurencyjności oraz powinien wskazać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br/>
        <w:t>w zapytaniu ofertowym, że dotyczy ono realizacji częściowych zamówień przez wykonawców. W przypadku gdy możliwe jest składanie ofert częściowych postępowanie może zakończyć się wyborem kilku wykonawców.</w:t>
      </w:r>
    </w:p>
    <w:p w:rsidR="00684019" w:rsidRPr="0047375F" w:rsidRDefault="00684019" w:rsidP="008F0FD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Zamówienie nie może zostać udzielone podmiotom powiązanym osobowo lub kapitałowo z</w:t>
      </w:r>
      <w:r w:rsidR="00A747D1" w:rsidRPr="0047375F">
        <w:rPr>
          <w:rFonts w:asciiTheme="minorHAnsi" w:eastAsia="Franklin Gothic Medium" w:hAnsiTheme="minorHAnsi" w:cstheme="minorHAnsi"/>
          <w:sz w:val="24"/>
          <w:szCs w:val="24"/>
        </w:rPr>
        <w:t> 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Wnioskodawcą lub osobami upoważnionymi do zaciągania zobowiązań w imieniu Wnioskodawcy lub osobami wykonującymi w imieniu Wnioskodawcy czynności związane z</w:t>
      </w:r>
      <w:r w:rsidR="00A747D1" w:rsidRPr="0047375F">
        <w:rPr>
          <w:rFonts w:asciiTheme="minorHAnsi" w:eastAsia="Franklin Gothic Medium" w:hAnsiTheme="minorHAnsi" w:cstheme="minorHAnsi"/>
          <w:sz w:val="24"/>
          <w:szCs w:val="24"/>
        </w:rPr>
        <w:t> 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przygotowaniem i przeprowadzeniem procedury wyboru wykonawcy, w szczególności poprzez:</w:t>
      </w:r>
    </w:p>
    <w:p w:rsidR="00F9073A" w:rsidRPr="0047375F" w:rsidRDefault="00F9073A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uczestnictwo w spółce jako wspólnik spółki cywilnej lub spółki osobowej;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posiadanie udziałów lub co najmniej 10% akcji w innym podmiocie,</w:t>
      </w:r>
    </w:p>
    <w:p w:rsidR="00684019" w:rsidRPr="0047375F" w:rsidRDefault="00684019" w:rsidP="007614BA">
      <w:pPr>
        <w:numPr>
          <w:ilvl w:val="0"/>
          <w:numId w:val="13"/>
        </w:numPr>
        <w:spacing w:before="40" w:after="40" w:line="240" w:lineRule="auto"/>
        <w:ind w:left="426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pełnienie funkcji członka organu nadzorczego lub zarządzającego, prokurenta, pełnomocnika,</w:t>
      </w:r>
    </w:p>
    <w:p w:rsidR="00684019" w:rsidRPr="0047375F" w:rsidRDefault="00684019" w:rsidP="007614BA">
      <w:pPr>
        <w:numPr>
          <w:ilvl w:val="0"/>
          <w:numId w:val="13"/>
        </w:numPr>
        <w:spacing w:after="12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375F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Potencjalny wykonawca zobowiązany jest załączyć do oferty oświadczenie o braku powiązań kapitałowych lub osobowych z Wnioskodawcą.</w:t>
      </w:r>
    </w:p>
    <w:p w:rsidR="00684019" w:rsidRPr="0047375F" w:rsidRDefault="00684019" w:rsidP="008F0FDA">
      <w:pPr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Wybór najkorzystniejszej oferty dokonywany jest w oparciu o ustalone w zapytaniu ofertowym kryteria. Wybór oferty musi zostać udokumentowany protokołem, sporządzonym w formie pisemnej. Protokół jest dokumentem potwierdzającym prawidłowość wyboru wykonawcy zgodnie z zasadą konkurencyjności i powinien zawierać co najmniej:</w:t>
      </w:r>
    </w:p>
    <w:p w:rsidR="00684019" w:rsidRPr="0047375F" w:rsidRDefault="00684019" w:rsidP="007614BA">
      <w:pPr>
        <w:numPr>
          <w:ilvl w:val="0"/>
          <w:numId w:val="17"/>
        </w:numPr>
        <w:tabs>
          <w:tab w:val="clear" w:pos="737"/>
          <w:tab w:val="num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lastRenderedPageBreak/>
        <w:t>informację do jakich co najmniej trzech potencjalnych wykonawców Wnioskodawca wysłał zapytanie ofertowe lub informację o tym, że na rynku nie istnieje trzech potencjalnych wykonawców wraz z uzasadnieniem wskazującym na obiektywne przesłanki potwierdzające ten fakt,</w:t>
      </w:r>
    </w:p>
    <w:p w:rsidR="00684019" w:rsidRPr="0047375F" w:rsidRDefault="00684019" w:rsidP="007614BA">
      <w:pPr>
        <w:numPr>
          <w:ilvl w:val="0"/>
          <w:numId w:val="17"/>
        </w:numPr>
        <w:tabs>
          <w:tab w:val="clear" w:pos="737"/>
          <w:tab w:val="num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informację o sposobie upublicznienia zapytania ofertowego,</w:t>
      </w:r>
    </w:p>
    <w:p w:rsidR="00684019" w:rsidRPr="0047375F" w:rsidRDefault="00684019" w:rsidP="007614BA">
      <w:pPr>
        <w:numPr>
          <w:ilvl w:val="0"/>
          <w:numId w:val="17"/>
        </w:numPr>
        <w:tabs>
          <w:tab w:val="clear" w:pos="737"/>
          <w:tab w:val="num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wykaz ofert, które wpłynęły w odpowiedzi na zapytanie ofertowe wraz ze wskazaniem daty wpływu oferty oraz z podaniem tych danych z ofert, które stanowią odpowiedź na kryteria oceny ofert,</w:t>
      </w:r>
    </w:p>
    <w:p w:rsidR="00684019" w:rsidRPr="0047375F" w:rsidRDefault="00684019" w:rsidP="007614BA">
      <w:pPr>
        <w:numPr>
          <w:ilvl w:val="0"/>
          <w:numId w:val="17"/>
        </w:numPr>
        <w:tabs>
          <w:tab w:val="clear" w:pos="737"/>
          <w:tab w:val="num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informację o</w:t>
      </w:r>
      <w:r w:rsidR="00F9073A"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wagach punktowych lub procentowych przypisanych do poszczególnych kryteriów oceny,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 skali ocen w poszczególnych kryteriach oceny, sposobie przyznawania punktacji za spełnienie danego kryterium,</w:t>
      </w:r>
    </w:p>
    <w:p w:rsidR="00684019" w:rsidRPr="0047375F" w:rsidRDefault="00684019" w:rsidP="007614BA">
      <w:pPr>
        <w:numPr>
          <w:ilvl w:val="0"/>
          <w:numId w:val="17"/>
        </w:numPr>
        <w:tabs>
          <w:tab w:val="clear" w:pos="737"/>
          <w:tab w:val="num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wskazanie wybranej oferty wraz z uzasadnieniem wyboru,</w:t>
      </w:r>
    </w:p>
    <w:p w:rsidR="00684019" w:rsidRPr="0047375F" w:rsidRDefault="00684019" w:rsidP="007614BA">
      <w:pPr>
        <w:numPr>
          <w:ilvl w:val="0"/>
          <w:numId w:val="17"/>
        </w:numPr>
        <w:tabs>
          <w:tab w:val="clear" w:pos="737"/>
          <w:tab w:val="num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datę sporządzenia protokołu i podpis Wnioskodawcy lub osoby upoważnionej przez Wnioskodawcę do podejmowania czynności w jego imieniu.</w:t>
      </w:r>
    </w:p>
    <w:p w:rsidR="00684019" w:rsidRPr="0047375F" w:rsidRDefault="00684019" w:rsidP="008F0FDA">
      <w:pPr>
        <w:autoSpaceDE w:val="0"/>
        <w:autoSpaceDN w:val="0"/>
        <w:adjustRightInd w:val="0"/>
        <w:spacing w:line="240" w:lineRule="auto"/>
        <w:ind w:left="737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keepNext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Do protokołu Wnioskodawca załącza:</w:t>
      </w:r>
    </w:p>
    <w:p w:rsidR="00684019" w:rsidRPr="0047375F" w:rsidRDefault="00684019" w:rsidP="007614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potwierdzenie udokumentowania publikacji zapytania na stronie internetowej,</w:t>
      </w:r>
    </w:p>
    <w:p w:rsidR="00684019" w:rsidRPr="0047375F" w:rsidRDefault="00684019" w:rsidP="007614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złożone oferty wraz z oświadczeniami wykonawców o braku powiązań kapitałowych lub osobowych</w:t>
      </w:r>
      <w:r w:rsidR="00F9073A" w:rsidRPr="0047375F">
        <w:rPr>
          <w:rFonts w:asciiTheme="minorHAnsi" w:eastAsia="Franklin Gothic Medium" w:hAnsiTheme="minorHAnsi" w:cstheme="minorHAnsi"/>
          <w:sz w:val="24"/>
          <w:szCs w:val="24"/>
        </w:rPr>
        <w:t>,</w:t>
      </w:r>
    </w:p>
    <w:p w:rsidR="00F9073A" w:rsidRPr="0047375F" w:rsidRDefault="00F9073A" w:rsidP="007614B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oświadczenie/oświadczenia Wnioskodawcy o braku powi</w:t>
      </w:r>
      <w:r w:rsidR="009D5F0D" w:rsidRPr="0047375F">
        <w:rPr>
          <w:rFonts w:asciiTheme="minorHAnsi" w:eastAsia="Franklin Gothic Medium" w:hAnsiTheme="minorHAnsi" w:cstheme="minorHAnsi"/>
          <w:sz w:val="24"/>
          <w:szCs w:val="24"/>
        </w:rPr>
        <w:t>ąz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ań z wykonawcami, którzy złożyli oferty – podpisane przez Zleceniobiorcę lub osoby upoważnione do zaciągania zobowiązań w im</w:t>
      </w:r>
      <w:r w:rsidR="007D7EDB" w:rsidRPr="0047375F">
        <w:rPr>
          <w:rFonts w:asciiTheme="minorHAnsi" w:eastAsia="Franklin Gothic Medium" w:hAnsiTheme="minorHAnsi" w:cstheme="minorHAnsi"/>
          <w:sz w:val="24"/>
          <w:szCs w:val="24"/>
        </w:rPr>
        <w:t>i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eniu Wykonawcy lub osoby wykonujące w im</w:t>
      </w:r>
      <w:r w:rsidR="007D7EDB" w:rsidRPr="0047375F">
        <w:rPr>
          <w:rFonts w:asciiTheme="minorHAnsi" w:eastAsia="Franklin Gothic Medium" w:hAnsiTheme="minorHAnsi" w:cstheme="minorHAnsi"/>
          <w:sz w:val="24"/>
          <w:szCs w:val="24"/>
        </w:rPr>
        <w:t>i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t>eniu Wnioskodawcy czynności związane z przygotowaniem i przeprowadzeniem procedury wyboru wykonawcy.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7614B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 zakończeniu postępowania Wnioskodawca bezzwłocznie informuje każdego wykonawcę, który złożył ofertę o wyniku postępowania. Jeżeli Wnioskodawca posiada stronę internetową – zobowiązany jest do zamieszczenia bezzwłocznie na stronie internetowej informacji dotyczących zakończonego postępowania (w tym o wyborze najkorzystniejszej oferty) oraz ogłoszenia o udzieleniu zamówienia.</w:t>
      </w:r>
    </w:p>
    <w:p w:rsidR="00684019" w:rsidRPr="0047375F" w:rsidRDefault="00684019" w:rsidP="007614B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Zasadę konkurencyjności uważa się za spełnioną w przypadku gdy Wnioskodawca pomimo wysłania zapytania ofertowego do trzech potencjalnych wykonawców i upublicznienia zapytania ofertowego otrzymał tylko jedną ważną ofertę.</w:t>
      </w:r>
    </w:p>
    <w:p w:rsidR="00684019" w:rsidRPr="0047375F" w:rsidRDefault="00684019" w:rsidP="007614BA">
      <w:pPr>
        <w:spacing w:after="12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W sytuacji, gdy Wnioskodawca nie otrzymał żadnej oferty (pomimo wysłania zapytania ofertowego do trzech potencjalnych wykonawców i upublicznienia zapytania ofertowego) dopuszcza się możliwość zawarcia umowy z wykonawcą wybranym bez zachowania procedury konkurencyjności. Realizacja zamówienia przez podmiot powiązany jest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br/>
        <w:t xml:space="preserve">w takim przypadku dopuszczalna wyłącznie za zgodą PFRON na wniosek Wnioskodawcy uzasadniający występowanie obiektywnych przesłanek, że na rynku nie istnieje inny </w:t>
      </w:r>
      <w:r w:rsidRPr="0047375F">
        <w:rPr>
          <w:rFonts w:asciiTheme="minorHAnsi" w:eastAsia="Franklin Gothic Medium" w:hAnsiTheme="minorHAnsi" w:cstheme="minorHAnsi"/>
          <w:sz w:val="24"/>
          <w:szCs w:val="24"/>
        </w:rPr>
        <w:lastRenderedPageBreak/>
        <w:t>potencjalny wykonawca danego zamówienia. Wnioskodawca zobowiązany jest do przechowywania dokumentacji potwierdzającej dokonanie powyższych czynności.</w:t>
      </w:r>
    </w:p>
    <w:p w:rsidR="00684019" w:rsidRPr="0047375F" w:rsidRDefault="00684019" w:rsidP="0047375F">
      <w:pPr>
        <w:pStyle w:val="Nagwek1"/>
      </w:pPr>
      <w:bookmarkStart w:id="25" w:name="_Toc2947520"/>
      <w:r w:rsidRPr="0047375F">
        <w:t>Podatek od towarów i usług (VAT)</w:t>
      </w:r>
      <w:bookmarkEnd w:id="25"/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Podatek VAT stanowi koszt kwalifikowalny jedynie wówczas, gdy został poniesiony przez Wykonawcę w związku z kosztami kwalifikowalnymi zaś Wnioskodawca nie ma prawnej możliwości odzyskania podatku VAT. Możliwość odzyskania podatku VAT rozpatruje się w świetle ustawy o VAT.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Wnioskodawca zobowiązany jest złożyć oświadczenie o kwalifikowalności podatku VAT.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Brak prawnej możliwości odzyskania podatku VAT zachodzi, jeżeli Wnioskodawcy nie przysługuje prawo do obniżenia kwoty podatku należnego (związanego z opodatkowanymi czynnościami w projekcie) o kwotę podatku naliczonego (związanego z kosztami nabytych towarów i usług oraz środków trwałych).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przypadku zaistnienia przesłanek umożliwiających odzyskanie podatku VAT, Wnioskodawca zobowiązuje się do poinformowania PFRON o tym fakcie oraz do dokonania korekty w zakresie rozliczeń, po zakończeniu realizacji projektu także do zwrotu podatku zrefundowanego ze środków dofinansowania.</w:t>
      </w:r>
    </w:p>
    <w:p w:rsidR="00684019" w:rsidRPr="0047375F" w:rsidRDefault="00684019" w:rsidP="0047375F">
      <w:pPr>
        <w:pStyle w:val="Nagwek1"/>
      </w:pPr>
      <w:bookmarkStart w:id="26" w:name="_Toc2947521"/>
      <w:r w:rsidRPr="0047375F">
        <w:t>Dokumentowanie poniesionych kosztów</w:t>
      </w:r>
      <w:bookmarkEnd w:id="26"/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powinny być udokumentowane w sposób umożliwiający ocenę realizacji projektu pod względem finansowym i merytorycznym.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Każdy z Wnioskodawców realizujących projekt zobowiązany jest do prowadzenia wyodrębnionej ewidencji księgowej dla projektu w sposób umożliwiający identyfikację poszczególnych operacji księgowych i bankowych. 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Wnioskodawca niezobowiązany do prowadzenia jakiejkolwiek ewidencji księgowej na podstawie obowiązujących przepisów, ma obowiązek ewidencjonowania dokumentów dotyczących operacji związanych z realizacją projektu.</w:t>
      </w:r>
    </w:p>
    <w:p w:rsidR="00684019" w:rsidRPr="0047375F" w:rsidRDefault="00684019" w:rsidP="007614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Dowodem poniesienia kosztu jest wystawiona faktura lub inny dokument księgowy </w:t>
      </w: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>o równoważnej wartości dowodowej. Wszystkie oryginały dokumentów księgowych dotyczące ponoszonych kosztów bezpośrednich muszą być prawidłowo opisane, tak aby widoczny był ich związek z realizowanym projektem. W opisie dokumentu należy uwzględnić informacje takie jak:</w:t>
      </w:r>
    </w:p>
    <w:p w:rsidR="00684019" w:rsidRPr="0047375F" w:rsidRDefault="00684019" w:rsidP="007614BA">
      <w:pPr>
        <w:keepNext/>
        <w:numPr>
          <w:ilvl w:val="0"/>
          <w:numId w:val="10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nr Umowy,</w:t>
      </w:r>
    </w:p>
    <w:p w:rsidR="00684019" w:rsidRPr="0047375F" w:rsidRDefault="00684019" w:rsidP="007614BA">
      <w:pPr>
        <w:numPr>
          <w:ilvl w:val="0"/>
          <w:numId w:val="10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nr zadania zgodnie z Harmonogramem realizacji projektu, w ramach którego koszt został poniesiony, </w:t>
      </w:r>
    </w:p>
    <w:p w:rsidR="00684019" w:rsidRPr="0047375F" w:rsidRDefault="00684019" w:rsidP="007614BA">
      <w:pPr>
        <w:numPr>
          <w:ilvl w:val="0"/>
          <w:numId w:val="10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kwotę kwalifikowalną w odniesieniu do danego zadania, w podziale na środki własne i</w:t>
      </w:r>
      <w:r w:rsidR="00381847"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PFRON, </w:t>
      </w:r>
    </w:p>
    <w:p w:rsidR="00684019" w:rsidRPr="0047375F" w:rsidRDefault="00684019" w:rsidP="007614BA">
      <w:pPr>
        <w:numPr>
          <w:ilvl w:val="0"/>
          <w:numId w:val="10"/>
        </w:numPr>
        <w:autoSpaceDE w:val="0"/>
        <w:autoSpaceDN w:val="0"/>
        <w:adjustRightInd w:val="0"/>
        <w:spacing w:before="40" w:after="40" w:line="240" w:lineRule="auto"/>
        <w:ind w:left="284" w:hanging="284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kategorię kosztu wraz z pozycją budżetową.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przypadku umowy o pracę dowodem poniesienia kosztu jest lista płac. Jeżeli dany pracownik nie jest zaangażowany w projekt w wymiarze pełnego etatu, określenie kwalifikowalnej części wynagrodzenia dokonuje się na podstawie;</w:t>
      </w:r>
    </w:p>
    <w:p w:rsidR="00684019" w:rsidRPr="0047375F" w:rsidRDefault="00684019" w:rsidP="007614B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oddelegowania pracownika do projektu w częściowym wymiarze etatu, ze wskazaniem zakresu obowiązków w ramach projektu (najbardziej optymalne rozwiązanie),</w:t>
      </w:r>
    </w:p>
    <w:p w:rsidR="00684019" w:rsidRPr="0047375F" w:rsidRDefault="00684019" w:rsidP="007614BA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karty czasu pracy z opisem wykonywanych zadań - dla osób, które pracują nieregularnie na rzecz projektu objętego dofinansowaniem.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przypadku umowy zlecenia dowodem poniesienia kosztu jest rachunek, ewidencja godzin oraz zadań wykonanych w ramach projektu, protokół odbioru.</w:t>
      </w:r>
    </w:p>
    <w:p w:rsidR="00684019" w:rsidRPr="0047375F" w:rsidRDefault="00684019" w:rsidP="007614B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 przypadku umowy o dzieło dowodem poniesienia kosztu jest rachunek, ewidencja zadań wykonanych w ramach projektu, protokół odbioru.</w:t>
      </w:r>
    </w:p>
    <w:p w:rsidR="00684019" w:rsidRPr="0047375F" w:rsidRDefault="00684019" w:rsidP="0047375F">
      <w:pPr>
        <w:pStyle w:val="Nagwek1"/>
      </w:pPr>
      <w:bookmarkStart w:id="27" w:name="_Toc2947522"/>
      <w:r w:rsidRPr="0047375F">
        <w:t>Zakaz podwójnego finansowania</w:t>
      </w:r>
      <w:bookmarkEnd w:id="27"/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Podwójne sfinansowanie, całkowite lub częściowe danego kosztu jest niedozwolone.</w:t>
      </w:r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Podwójnym finansowaniem jest w szczególności: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wykazanie tego samego kosztu w ramach dwóch różnych projektów współfinansowanych ze środków publicznych,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sfinansowanie kosztów podatku VAT ze środków projektu, a następnie odzyskanie tego podatku ze środków budżetu państwa w oparciu o ustawę o podatku VAT,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zakupienie środka trwałego z udziałem środków dotacji krajowej lub dofinansowania innego projektu, a następnie wykazanie kosztów amortyzacji tego środka w projekcie objętym dofinansowaniem.</w:t>
      </w:r>
    </w:p>
    <w:p w:rsidR="00684019" w:rsidRPr="0047375F" w:rsidRDefault="00684019" w:rsidP="0047375F">
      <w:pPr>
        <w:pStyle w:val="Nagwek1"/>
      </w:pPr>
      <w:bookmarkStart w:id="28" w:name="_Toc2947523"/>
      <w:r w:rsidRPr="0047375F">
        <w:t>Wkład własny</w:t>
      </w:r>
      <w:bookmarkEnd w:id="28"/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Beneficjent ma obowiązek wniesienia wkładu własnego w formie finansowej, </w:t>
      </w: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>w zadeklarowanej wysokości na pokrycie części kosztów kwalifikowalnych w realizowanym projekcie.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3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>Wkład własny: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powinien być skategoryzowany i mieć charakter nakładów kwalifikowalnych zgodnie z Przewodnikiem Kwalifikowalności Kosztów,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podlega ocenie merytorycznej pod kątem zasadności wniesienia do projektu;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>podlega ocenie finansowej pod względem prawidłowości, rzetelności i wiarygodności przeprowadzonej wyceny.</w:t>
      </w:r>
    </w:p>
    <w:p w:rsidR="00684019" w:rsidRPr="0047375F" w:rsidRDefault="00684019" w:rsidP="008F0F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</w:p>
    <w:p w:rsidR="00684019" w:rsidRPr="0047375F" w:rsidRDefault="00684019" w:rsidP="008F0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Za kwalifikowalne wyłącznie w ramach wkładu własnego uznawane są koszty: 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lastRenderedPageBreak/>
        <w:t xml:space="preserve">audytu zewnętrznego – jeżeli Wnioskodawca planuje przeprowadzenie takiego audytu podczas realizacji projektu, pomimo iż w danym projekcie audyt nie jest wymagany przez PFRON, </w:t>
      </w:r>
    </w:p>
    <w:p w:rsidR="00684019" w:rsidRPr="0047375F" w:rsidRDefault="00684019" w:rsidP="007614B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3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47375F">
        <w:rPr>
          <w:rFonts w:asciiTheme="minorHAnsi" w:eastAsia="Franklin Gothic Medium" w:hAnsiTheme="minorHAnsi" w:cstheme="minorHAnsi"/>
          <w:sz w:val="24"/>
          <w:szCs w:val="24"/>
        </w:rPr>
        <w:t xml:space="preserve">zakupu praw autorskich, </w:t>
      </w:r>
    </w:p>
    <w:p w:rsidR="0082151F" w:rsidRPr="007614BA" w:rsidRDefault="00684019" w:rsidP="00643F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hAnsiTheme="minorHAnsi" w:cstheme="minorHAnsi"/>
          <w:sz w:val="23"/>
        </w:rPr>
      </w:pPr>
      <w:r w:rsidRPr="007614BA">
        <w:rPr>
          <w:rFonts w:asciiTheme="minorHAnsi" w:eastAsia="Franklin Gothic Medium" w:hAnsiTheme="minorHAnsi" w:cstheme="minorHAnsi"/>
          <w:sz w:val="24"/>
          <w:szCs w:val="24"/>
        </w:rPr>
        <w:t>tłumaczenia na język polski, przez tłumacza przysięgłego, dowodów księgowych wystawionych w języku innym niż język polski.</w:t>
      </w:r>
      <w:bookmarkStart w:id="29" w:name="RANGE!A1:E24"/>
      <w:bookmarkEnd w:id="29"/>
    </w:p>
    <w:sectPr w:rsidR="0082151F" w:rsidRPr="007614BA" w:rsidSect="0047375F">
      <w:footerReference w:type="default" r:id="rId10"/>
      <w:footerReference w:type="first" r:id="rId11"/>
      <w:pgSz w:w="11906" w:h="16838"/>
      <w:pgMar w:top="1417" w:right="1417" w:bottom="1417" w:left="1417" w:header="709" w:footer="5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AC" w:rsidRDefault="00DA28AC" w:rsidP="00DA28AC">
      <w:pPr>
        <w:spacing w:after="0" w:line="240" w:lineRule="auto"/>
      </w:pPr>
      <w:r>
        <w:separator/>
      </w:r>
    </w:p>
  </w:endnote>
  <w:endnote w:type="continuationSeparator" w:id="0">
    <w:p w:rsidR="00DA28AC" w:rsidRDefault="00DA28AC" w:rsidP="00DA28AC">
      <w:pPr>
        <w:spacing w:after="0" w:line="240" w:lineRule="auto"/>
      </w:pPr>
      <w:r>
        <w:continuationSeparator/>
      </w:r>
    </w:p>
  </w:endnote>
  <w:endnote w:type="continuationNotice" w:id="1">
    <w:p w:rsidR="00DA28AC" w:rsidRDefault="00DA28AC" w:rsidP="00DA2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77479"/>
      <w:docPartObj>
        <w:docPartGallery w:val="Page Numbers (Bottom of Page)"/>
        <w:docPartUnique/>
      </w:docPartObj>
    </w:sdtPr>
    <w:sdtContent>
      <w:p w:rsidR="0047375F" w:rsidRDefault="004737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2438" w:rsidRPr="0047375F" w:rsidRDefault="00952438" w:rsidP="00473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285838"/>
      <w:docPartObj>
        <w:docPartGallery w:val="Page Numbers (Bottom of Page)"/>
        <w:docPartUnique/>
      </w:docPartObj>
    </w:sdtPr>
    <w:sdtContent>
      <w:p w:rsidR="003F5441" w:rsidRDefault="0047375F" w:rsidP="004737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AC" w:rsidRDefault="00DA28AC" w:rsidP="00DA28AC">
      <w:pPr>
        <w:spacing w:after="0" w:line="240" w:lineRule="auto"/>
      </w:pPr>
      <w:r>
        <w:separator/>
      </w:r>
    </w:p>
  </w:footnote>
  <w:footnote w:type="continuationSeparator" w:id="0">
    <w:p w:rsidR="00DA28AC" w:rsidRDefault="00DA28AC" w:rsidP="00DA28AC">
      <w:pPr>
        <w:spacing w:after="0" w:line="240" w:lineRule="auto"/>
      </w:pPr>
      <w:r>
        <w:continuationSeparator/>
      </w:r>
    </w:p>
  </w:footnote>
  <w:footnote w:type="continuationNotice" w:id="1">
    <w:p w:rsidR="00DA28AC" w:rsidRDefault="00DA28AC" w:rsidP="00DA28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1B5"/>
    <w:multiLevelType w:val="hybridMultilevel"/>
    <w:tmpl w:val="83BC5BDC"/>
    <w:lvl w:ilvl="0" w:tplc="6B003A46">
      <w:start w:val="1"/>
      <w:numFmt w:val="lowerLetter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71C"/>
    <w:multiLevelType w:val="hybridMultilevel"/>
    <w:tmpl w:val="176019A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80F"/>
    <w:multiLevelType w:val="hybridMultilevel"/>
    <w:tmpl w:val="332EEE34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2F15C20"/>
    <w:multiLevelType w:val="hybridMultilevel"/>
    <w:tmpl w:val="00180BAA"/>
    <w:lvl w:ilvl="0" w:tplc="CAD84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A188A"/>
    <w:multiLevelType w:val="hybridMultilevel"/>
    <w:tmpl w:val="976EE9AC"/>
    <w:lvl w:ilvl="0" w:tplc="F8209D7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688"/>
    <w:multiLevelType w:val="hybridMultilevel"/>
    <w:tmpl w:val="1A4E8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0C"/>
    <w:multiLevelType w:val="hybridMultilevel"/>
    <w:tmpl w:val="D20C9318"/>
    <w:lvl w:ilvl="0" w:tplc="3648ED98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D199B"/>
    <w:multiLevelType w:val="hybridMultilevel"/>
    <w:tmpl w:val="1B447F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6D0D15"/>
    <w:multiLevelType w:val="hybridMultilevel"/>
    <w:tmpl w:val="1A4E8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130E6B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40069"/>
    <w:multiLevelType w:val="hybridMultilevel"/>
    <w:tmpl w:val="EAA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201E"/>
    <w:multiLevelType w:val="hybridMultilevel"/>
    <w:tmpl w:val="ECD40C1C"/>
    <w:lvl w:ilvl="0" w:tplc="DCF4225A">
      <w:start w:val="1"/>
      <w:numFmt w:val="decimal"/>
      <w:pStyle w:val="Nagwek2"/>
      <w:lvlText w:val="%1)"/>
      <w:lvlJc w:val="left"/>
      <w:pPr>
        <w:ind w:left="720" w:hanging="360"/>
      </w:pPr>
    </w:lvl>
    <w:lvl w:ilvl="1" w:tplc="58622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22A0"/>
    <w:multiLevelType w:val="hybridMultilevel"/>
    <w:tmpl w:val="86BC522A"/>
    <w:lvl w:ilvl="0" w:tplc="D21C1DF4">
      <w:start w:val="1"/>
      <w:numFmt w:val="lowerLetter"/>
      <w:pStyle w:val="Styl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5B2F"/>
    <w:multiLevelType w:val="hybridMultilevel"/>
    <w:tmpl w:val="25D02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F1F93"/>
    <w:multiLevelType w:val="hybridMultilevel"/>
    <w:tmpl w:val="FED4AB76"/>
    <w:lvl w:ilvl="0" w:tplc="3648E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2620"/>
    <w:multiLevelType w:val="hybridMultilevel"/>
    <w:tmpl w:val="1BDAC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21B16"/>
    <w:multiLevelType w:val="hybridMultilevel"/>
    <w:tmpl w:val="5FB40E1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26B11"/>
    <w:multiLevelType w:val="hybridMultilevel"/>
    <w:tmpl w:val="76CCEF0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830B2"/>
    <w:multiLevelType w:val="hybridMultilevel"/>
    <w:tmpl w:val="CAACC88C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479E9"/>
    <w:multiLevelType w:val="hybridMultilevel"/>
    <w:tmpl w:val="7914988A"/>
    <w:lvl w:ilvl="0" w:tplc="BB38C58C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0" w15:restartNumberingAfterBreak="0">
    <w:nsid w:val="5D222248"/>
    <w:multiLevelType w:val="hybridMultilevel"/>
    <w:tmpl w:val="94EE0E68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0804909"/>
    <w:multiLevelType w:val="multilevel"/>
    <w:tmpl w:val="0C6C0E1C"/>
    <w:lvl w:ilvl="0">
      <w:start w:val="1"/>
      <w:numFmt w:val="lowerLetter"/>
      <w:pStyle w:val="poziom2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0B4597"/>
    <w:multiLevelType w:val="hybridMultilevel"/>
    <w:tmpl w:val="EFEE23C2"/>
    <w:lvl w:ilvl="0" w:tplc="257C5840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D07E1"/>
    <w:multiLevelType w:val="hybridMultilevel"/>
    <w:tmpl w:val="E5A4656C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72284"/>
    <w:multiLevelType w:val="hybridMultilevel"/>
    <w:tmpl w:val="A8D8DC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D31572"/>
    <w:multiLevelType w:val="hybridMultilevel"/>
    <w:tmpl w:val="D5E6809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42A1B"/>
    <w:multiLevelType w:val="hybridMultilevel"/>
    <w:tmpl w:val="13D63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FD41A7"/>
    <w:multiLevelType w:val="multilevel"/>
    <w:tmpl w:val="B96CE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1C2EC4"/>
    <w:multiLevelType w:val="hybridMultilevel"/>
    <w:tmpl w:val="C88EAB82"/>
    <w:lvl w:ilvl="0" w:tplc="3648E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98083E"/>
    <w:multiLevelType w:val="hybridMultilevel"/>
    <w:tmpl w:val="A14446B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16"/>
  </w:num>
  <w:num w:numId="5">
    <w:abstractNumId w:val="18"/>
  </w:num>
  <w:num w:numId="6">
    <w:abstractNumId w:val="25"/>
  </w:num>
  <w:num w:numId="7">
    <w:abstractNumId w:val="7"/>
  </w:num>
  <w:num w:numId="8">
    <w:abstractNumId w:val="29"/>
  </w:num>
  <w:num w:numId="9">
    <w:abstractNumId w:val="1"/>
  </w:num>
  <w:num w:numId="10">
    <w:abstractNumId w:val="20"/>
  </w:num>
  <w:num w:numId="11">
    <w:abstractNumId w:val="2"/>
  </w:num>
  <w:num w:numId="12">
    <w:abstractNumId w:val="15"/>
  </w:num>
  <w:num w:numId="13">
    <w:abstractNumId w:val="19"/>
  </w:num>
  <w:num w:numId="14">
    <w:abstractNumId w:val="8"/>
  </w:num>
  <w:num w:numId="15">
    <w:abstractNumId w:val="9"/>
  </w:num>
  <w:num w:numId="16">
    <w:abstractNumId w:val="28"/>
  </w:num>
  <w:num w:numId="17">
    <w:abstractNumId w:val="6"/>
  </w:num>
  <w:num w:numId="18">
    <w:abstractNumId w:val="10"/>
  </w:num>
  <w:num w:numId="19">
    <w:abstractNumId w:val="27"/>
  </w:num>
  <w:num w:numId="20">
    <w:abstractNumId w:val="21"/>
  </w:num>
  <w:num w:numId="21">
    <w:abstractNumId w:val="22"/>
  </w:num>
  <w:num w:numId="22">
    <w:abstractNumId w:val="12"/>
  </w:num>
  <w:num w:numId="23">
    <w:abstractNumId w:val="4"/>
  </w:num>
  <w:num w:numId="24">
    <w:abstractNumId w:val="11"/>
  </w:num>
  <w:num w:numId="25">
    <w:abstractNumId w:val="0"/>
  </w:num>
  <w:num w:numId="26">
    <w:abstractNumId w:val="5"/>
  </w:num>
  <w:num w:numId="27">
    <w:abstractNumId w:val="14"/>
  </w:num>
  <w:num w:numId="28">
    <w:abstractNumId w:val="3"/>
  </w:num>
  <w:num w:numId="29">
    <w:abstractNumId w:val="24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noPunctuationKerning/>
  <w:characterSpacingControl w:val="doNotCompress"/>
  <w:hdrShapeDefaults>
    <o:shapedefaults v:ext="edit" spidmax="24577" style="v-text-anchor:middle" fillcolor="none [3206]" strokecolor="none [1606]">
      <v:fill color="none [3206]"/>
      <v:stroke color="none [1606]" weight="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E5E"/>
    <w:rsid w:val="00002245"/>
    <w:rsid w:val="00004D62"/>
    <w:rsid w:val="000054E6"/>
    <w:rsid w:val="000060FD"/>
    <w:rsid w:val="00014935"/>
    <w:rsid w:val="000150AD"/>
    <w:rsid w:val="00022E12"/>
    <w:rsid w:val="00023867"/>
    <w:rsid w:val="00024318"/>
    <w:rsid w:val="00025FC7"/>
    <w:rsid w:val="00026E7D"/>
    <w:rsid w:val="0002716D"/>
    <w:rsid w:val="00027703"/>
    <w:rsid w:val="000278A6"/>
    <w:rsid w:val="00032517"/>
    <w:rsid w:val="0003351E"/>
    <w:rsid w:val="000355F8"/>
    <w:rsid w:val="00045291"/>
    <w:rsid w:val="00046CAA"/>
    <w:rsid w:val="000514BD"/>
    <w:rsid w:val="00052CBA"/>
    <w:rsid w:val="00066930"/>
    <w:rsid w:val="00067A9B"/>
    <w:rsid w:val="00071564"/>
    <w:rsid w:val="0007554E"/>
    <w:rsid w:val="00076B31"/>
    <w:rsid w:val="00081298"/>
    <w:rsid w:val="000912F8"/>
    <w:rsid w:val="0009608F"/>
    <w:rsid w:val="000A2834"/>
    <w:rsid w:val="000A40A1"/>
    <w:rsid w:val="000B5529"/>
    <w:rsid w:val="000B572C"/>
    <w:rsid w:val="000C212F"/>
    <w:rsid w:val="000C2F85"/>
    <w:rsid w:val="000C3094"/>
    <w:rsid w:val="000C5200"/>
    <w:rsid w:val="000D7377"/>
    <w:rsid w:val="000E01DB"/>
    <w:rsid w:val="000E33C5"/>
    <w:rsid w:val="000E45B4"/>
    <w:rsid w:val="000E6188"/>
    <w:rsid w:val="000F08BF"/>
    <w:rsid w:val="000F2980"/>
    <w:rsid w:val="000F3D59"/>
    <w:rsid w:val="000F4DFF"/>
    <w:rsid w:val="000F73B6"/>
    <w:rsid w:val="000F7676"/>
    <w:rsid w:val="001016B6"/>
    <w:rsid w:val="00101BE0"/>
    <w:rsid w:val="001035EB"/>
    <w:rsid w:val="00105F82"/>
    <w:rsid w:val="001067E1"/>
    <w:rsid w:val="001141F9"/>
    <w:rsid w:val="0012028B"/>
    <w:rsid w:val="0012370E"/>
    <w:rsid w:val="0013357D"/>
    <w:rsid w:val="00136BCC"/>
    <w:rsid w:val="00137F65"/>
    <w:rsid w:val="00143C50"/>
    <w:rsid w:val="00144B6B"/>
    <w:rsid w:val="0014654C"/>
    <w:rsid w:val="00150C19"/>
    <w:rsid w:val="0015158B"/>
    <w:rsid w:val="001533FB"/>
    <w:rsid w:val="00155F98"/>
    <w:rsid w:val="00156D10"/>
    <w:rsid w:val="00157B8C"/>
    <w:rsid w:val="0016135A"/>
    <w:rsid w:val="00162AA3"/>
    <w:rsid w:val="001631B8"/>
    <w:rsid w:val="00164B80"/>
    <w:rsid w:val="00166312"/>
    <w:rsid w:val="00166F6E"/>
    <w:rsid w:val="00170479"/>
    <w:rsid w:val="00175C0A"/>
    <w:rsid w:val="00184173"/>
    <w:rsid w:val="001914AC"/>
    <w:rsid w:val="00192A44"/>
    <w:rsid w:val="00194803"/>
    <w:rsid w:val="00194EC9"/>
    <w:rsid w:val="001951BA"/>
    <w:rsid w:val="001A115B"/>
    <w:rsid w:val="001A1FFA"/>
    <w:rsid w:val="001A395E"/>
    <w:rsid w:val="001A4BA8"/>
    <w:rsid w:val="001B00B5"/>
    <w:rsid w:val="001B3BFD"/>
    <w:rsid w:val="001B57B8"/>
    <w:rsid w:val="001B7BE7"/>
    <w:rsid w:val="001D2E46"/>
    <w:rsid w:val="001D77A7"/>
    <w:rsid w:val="001E142E"/>
    <w:rsid w:val="001E3901"/>
    <w:rsid w:val="001E7A49"/>
    <w:rsid w:val="001F1EFC"/>
    <w:rsid w:val="001F2CE8"/>
    <w:rsid w:val="001F3035"/>
    <w:rsid w:val="001F30F7"/>
    <w:rsid w:val="001F3692"/>
    <w:rsid w:val="001F3DC5"/>
    <w:rsid w:val="001F708E"/>
    <w:rsid w:val="00202D00"/>
    <w:rsid w:val="00205C4F"/>
    <w:rsid w:val="00205E70"/>
    <w:rsid w:val="00212FCA"/>
    <w:rsid w:val="0021538A"/>
    <w:rsid w:val="00222AA0"/>
    <w:rsid w:val="0022382C"/>
    <w:rsid w:val="00223B51"/>
    <w:rsid w:val="002261EC"/>
    <w:rsid w:val="00231182"/>
    <w:rsid w:val="00234D63"/>
    <w:rsid w:val="00244569"/>
    <w:rsid w:val="00246483"/>
    <w:rsid w:val="00251168"/>
    <w:rsid w:val="00256729"/>
    <w:rsid w:val="00264B00"/>
    <w:rsid w:val="00264EA8"/>
    <w:rsid w:val="002743D1"/>
    <w:rsid w:val="00277CA9"/>
    <w:rsid w:val="002835AD"/>
    <w:rsid w:val="00283B84"/>
    <w:rsid w:val="002848EB"/>
    <w:rsid w:val="00285A73"/>
    <w:rsid w:val="00290200"/>
    <w:rsid w:val="00290F31"/>
    <w:rsid w:val="00294A62"/>
    <w:rsid w:val="00295FA5"/>
    <w:rsid w:val="00297DAF"/>
    <w:rsid w:val="002A02DD"/>
    <w:rsid w:val="002A30D0"/>
    <w:rsid w:val="002B28F2"/>
    <w:rsid w:val="002B6645"/>
    <w:rsid w:val="002C1643"/>
    <w:rsid w:val="002C4411"/>
    <w:rsid w:val="002D4CE9"/>
    <w:rsid w:val="002D6C79"/>
    <w:rsid w:val="002E14AA"/>
    <w:rsid w:val="002E1913"/>
    <w:rsid w:val="002E1D6A"/>
    <w:rsid w:val="002E2C7D"/>
    <w:rsid w:val="002E5CA5"/>
    <w:rsid w:val="002E7223"/>
    <w:rsid w:val="002F107F"/>
    <w:rsid w:val="002F18DA"/>
    <w:rsid w:val="002F2FD1"/>
    <w:rsid w:val="002F66D1"/>
    <w:rsid w:val="002F729E"/>
    <w:rsid w:val="002F7449"/>
    <w:rsid w:val="00302DED"/>
    <w:rsid w:val="0030456C"/>
    <w:rsid w:val="003102F2"/>
    <w:rsid w:val="00313605"/>
    <w:rsid w:val="00316330"/>
    <w:rsid w:val="00317714"/>
    <w:rsid w:val="00323066"/>
    <w:rsid w:val="00323879"/>
    <w:rsid w:val="0032451F"/>
    <w:rsid w:val="00330CD8"/>
    <w:rsid w:val="0033147F"/>
    <w:rsid w:val="003378AD"/>
    <w:rsid w:val="00340347"/>
    <w:rsid w:val="0035098B"/>
    <w:rsid w:val="00351E2A"/>
    <w:rsid w:val="0035388A"/>
    <w:rsid w:val="00353B03"/>
    <w:rsid w:val="0035540A"/>
    <w:rsid w:val="00357020"/>
    <w:rsid w:val="00357E5D"/>
    <w:rsid w:val="0036096D"/>
    <w:rsid w:val="00360E8D"/>
    <w:rsid w:val="00361041"/>
    <w:rsid w:val="00361304"/>
    <w:rsid w:val="0036794C"/>
    <w:rsid w:val="00372BDC"/>
    <w:rsid w:val="00375C31"/>
    <w:rsid w:val="003800D9"/>
    <w:rsid w:val="0038158B"/>
    <w:rsid w:val="00381847"/>
    <w:rsid w:val="003827AB"/>
    <w:rsid w:val="003846B5"/>
    <w:rsid w:val="00384C22"/>
    <w:rsid w:val="00391F44"/>
    <w:rsid w:val="003925A1"/>
    <w:rsid w:val="003A0BF2"/>
    <w:rsid w:val="003A0DF1"/>
    <w:rsid w:val="003A1600"/>
    <w:rsid w:val="003A2F23"/>
    <w:rsid w:val="003A48F7"/>
    <w:rsid w:val="003A5B4C"/>
    <w:rsid w:val="003A5F5B"/>
    <w:rsid w:val="003A6D62"/>
    <w:rsid w:val="003B3060"/>
    <w:rsid w:val="003B4631"/>
    <w:rsid w:val="003C2D59"/>
    <w:rsid w:val="003C4131"/>
    <w:rsid w:val="003C782B"/>
    <w:rsid w:val="003D6EAA"/>
    <w:rsid w:val="003D751D"/>
    <w:rsid w:val="003D7C80"/>
    <w:rsid w:val="003E0851"/>
    <w:rsid w:val="003E1790"/>
    <w:rsid w:val="003E1920"/>
    <w:rsid w:val="003E4DAF"/>
    <w:rsid w:val="003E5DE0"/>
    <w:rsid w:val="003E75F3"/>
    <w:rsid w:val="003F1CBB"/>
    <w:rsid w:val="003F36E4"/>
    <w:rsid w:val="003F5441"/>
    <w:rsid w:val="003F5DF7"/>
    <w:rsid w:val="003F66E9"/>
    <w:rsid w:val="003F6F75"/>
    <w:rsid w:val="003F7B81"/>
    <w:rsid w:val="00404699"/>
    <w:rsid w:val="00405D9F"/>
    <w:rsid w:val="00407A90"/>
    <w:rsid w:val="004124DB"/>
    <w:rsid w:val="0042419A"/>
    <w:rsid w:val="00425D58"/>
    <w:rsid w:val="00426484"/>
    <w:rsid w:val="00427B4C"/>
    <w:rsid w:val="00433766"/>
    <w:rsid w:val="00433865"/>
    <w:rsid w:val="00434A26"/>
    <w:rsid w:val="00434CB8"/>
    <w:rsid w:val="004357A7"/>
    <w:rsid w:val="00444DA4"/>
    <w:rsid w:val="00450866"/>
    <w:rsid w:val="0047375F"/>
    <w:rsid w:val="00474B25"/>
    <w:rsid w:val="00475A28"/>
    <w:rsid w:val="00482162"/>
    <w:rsid w:val="004828E0"/>
    <w:rsid w:val="004829BE"/>
    <w:rsid w:val="00484606"/>
    <w:rsid w:val="00484861"/>
    <w:rsid w:val="0048560E"/>
    <w:rsid w:val="00485C7A"/>
    <w:rsid w:val="00486B5A"/>
    <w:rsid w:val="00487F02"/>
    <w:rsid w:val="00491084"/>
    <w:rsid w:val="004966F7"/>
    <w:rsid w:val="004A0C0B"/>
    <w:rsid w:val="004A1388"/>
    <w:rsid w:val="004A2D28"/>
    <w:rsid w:val="004A57FA"/>
    <w:rsid w:val="004A5C35"/>
    <w:rsid w:val="004B08EA"/>
    <w:rsid w:val="004B3C14"/>
    <w:rsid w:val="004B567E"/>
    <w:rsid w:val="004B58EF"/>
    <w:rsid w:val="004B7136"/>
    <w:rsid w:val="004C5F46"/>
    <w:rsid w:val="004D5681"/>
    <w:rsid w:val="004D72D2"/>
    <w:rsid w:val="004E09EA"/>
    <w:rsid w:val="004E2007"/>
    <w:rsid w:val="004E5E70"/>
    <w:rsid w:val="004E6DC3"/>
    <w:rsid w:val="004F309F"/>
    <w:rsid w:val="004F4D96"/>
    <w:rsid w:val="004F5FEA"/>
    <w:rsid w:val="004F7FB5"/>
    <w:rsid w:val="005006CF"/>
    <w:rsid w:val="005019A9"/>
    <w:rsid w:val="005115E6"/>
    <w:rsid w:val="00512930"/>
    <w:rsid w:val="0051710F"/>
    <w:rsid w:val="0052002B"/>
    <w:rsid w:val="0052050E"/>
    <w:rsid w:val="005209BC"/>
    <w:rsid w:val="00521EA1"/>
    <w:rsid w:val="00522296"/>
    <w:rsid w:val="0052387B"/>
    <w:rsid w:val="00527452"/>
    <w:rsid w:val="0053039F"/>
    <w:rsid w:val="00531213"/>
    <w:rsid w:val="00533869"/>
    <w:rsid w:val="00537E4E"/>
    <w:rsid w:val="00540FD9"/>
    <w:rsid w:val="00541CB4"/>
    <w:rsid w:val="0054650C"/>
    <w:rsid w:val="00546EE6"/>
    <w:rsid w:val="00547A03"/>
    <w:rsid w:val="005500D4"/>
    <w:rsid w:val="00551333"/>
    <w:rsid w:val="0055338B"/>
    <w:rsid w:val="00561923"/>
    <w:rsid w:val="00564177"/>
    <w:rsid w:val="00567286"/>
    <w:rsid w:val="0056753C"/>
    <w:rsid w:val="00570849"/>
    <w:rsid w:val="005742AF"/>
    <w:rsid w:val="00577C51"/>
    <w:rsid w:val="005802A0"/>
    <w:rsid w:val="005802EC"/>
    <w:rsid w:val="0058242A"/>
    <w:rsid w:val="005876A1"/>
    <w:rsid w:val="005921E5"/>
    <w:rsid w:val="0059596B"/>
    <w:rsid w:val="005A0A2B"/>
    <w:rsid w:val="005A6313"/>
    <w:rsid w:val="005B0B7C"/>
    <w:rsid w:val="005B4052"/>
    <w:rsid w:val="005B42C2"/>
    <w:rsid w:val="005B6F0B"/>
    <w:rsid w:val="005C0DC2"/>
    <w:rsid w:val="005C1C58"/>
    <w:rsid w:val="005C3A9E"/>
    <w:rsid w:val="005C467D"/>
    <w:rsid w:val="005C53C3"/>
    <w:rsid w:val="005C6893"/>
    <w:rsid w:val="005C76D3"/>
    <w:rsid w:val="005D3D03"/>
    <w:rsid w:val="005E5651"/>
    <w:rsid w:val="005E6C83"/>
    <w:rsid w:val="005F0A5C"/>
    <w:rsid w:val="005F0D4A"/>
    <w:rsid w:val="005F1A78"/>
    <w:rsid w:val="005F2CFC"/>
    <w:rsid w:val="005F3829"/>
    <w:rsid w:val="005F4C90"/>
    <w:rsid w:val="005F6B85"/>
    <w:rsid w:val="006007A9"/>
    <w:rsid w:val="00614A6C"/>
    <w:rsid w:val="0061731B"/>
    <w:rsid w:val="006173F6"/>
    <w:rsid w:val="00622254"/>
    <w:rsid w:val="0062426E"/>
    <w:rsid w:val="00626434"/>
    <w:rsid w:val="00630C36"/>
    <w:rsid w:val="006312AF"/>
    <w:rsid w:val="00631CBD"/>
    <w:rsid w:val="0063240F"/>
    <w:rsid w:val="006329F4"/>
    <w:rsid w:val="00637075"/>
    <w:rsid w:val="006407B6"/>
    <w:rsid w:val="00642BC8"/>
    <w:rsid w:val="00643132"/>
    <w:rsid w:val="006467BE"/>
    <w:rsid w:val="00646E09"/>
    <w:rsid w:val="00651388"/>
    <w:rsid w:val="006515A8"/>
    <w:rsid w:val="00652B21"/>
    <w:rsid w:val="0065470F"/>
    <w:rsid w:val="006549C9"/>
    <w:rsid w:val="0065560F"/>
    <w:rsid w:val="006571EB"/>
    <w:rsid w:val="006644A9"/>
    <w:rsid w:val="00665CD9"/>
    <w:rsid w:val="0066797F"/>
    <w:rsid w:val="00667D4A"/>
    <w:rsid w:val="0067162C"/>
    <w:rsid w:val="00675E28"/>
    <w:rsid w:val="00681D14"/>
    <w:rsid w:val="00684019"/>
    <w:rsid w:val="00687046"/>
    <w:rsid w:val="006877FE"/>
    <w:rsid w:val="00690BE6"/>
    <w:rsid w:val="00690D69"/>
    <w:rsid w:val="006A45CC"/>
    <w:rsid w:val="006A7DF0"/>
    <w:rsid w:val="006B13D9"/>
    <w:rsid w:val="006B15F9"/>
    <w:rsid w:val="006B667F"/>
    <w:rsid w:val="006C1752"/>
    <w:rsid w:val="006C6B14"/>
    <w:rsid w:val="006C6DFB"/>
    <w:rsid w:val="006C7AF7"/>
    <w:rsid w:val="006D14ED"/>
    <w:rsid w:val="006D1735"/>
    <w:rsid w:val="006D19E6"/>
    <w:rsid w:val="006D4845"/>
    <w:rsid w:val="006D5326"/>
    <w:rsid w:val="006D693D"/>
    <w:rsid w:val="006D6DC6"/>
    <w:rsid w:val="006E0007"/>
    <w:rsid w:val="006E195F"/>
    <w:rsid w:val="006E4E88"/>
    <w:rsid w:val="006F1479"/>
    <w:rsid w:val="006F4AFF"/>
    <w:rsid w:val="0070181B"/>
    <w:rsid w:val="00703219"/>
    <w:rsid w:val="0070630D"/>
    <w:rsid w:val="007119DC"/>
    <w:rsid w:val="00712330"/>
    <w:rsid w:val="007127D6"/>
    <w:rsid w:val="0071359F"/>
    <w:rsid w:val="0071722B"/>
    <w:rsid w:val="00717437"/>
    <w:rsid w:val="00717E56"/>
    <w:rsid w:val="00720A09"/>
    <w:rsid w:val="0072172D"/>
    <w:rsid w:val="00721C1B"/>
    <w:rsid w:val="0072385D"/>
    <w:rsid w:val="00724DAE"/>
    <w:rsid w:val="00725591"/>
    <w:rsid w:val="007263E0"/>
    <w:rsid w:val="00732319"/>
    <w:rsid w:val="007329A3"/>
    <w:rsid w:val="00736CAA"/>
    <w:rsid w:val="007422C7"/>
    <w:rsid w:val="00743605"/>
    <w:rsid w:val="00743D60"/>
    <w:rsid w:val="007443C8"/>
    <w:rsid w:val="00744AC8"/>
    <w:rsid w:val="00745410"/>
    <w:rsid w:val="00745E11"/>
    <w:rsid w:val="00747675"/>
    <w:rsid w:val="007550B8"/>
    <w:rsid w:val="00756490"/>
    <w:rsid w:val="007605CD"/>
    <w:rsid w:val="007614BA"/>
    <w:rsid w:val="007635FB"/>
    <w:rsid w:val="00765FCD"/>
    <w:rsid w:val="00777768"/>
    <w:rsid w:val="00777AE3"/>
    <w:rsid w:val="0078237F"/>
    <w:rsid w:val="00782BD5"/>
    <w:rsid w:val="00786005"/>
    <w:rsid w:val="00786B09"/>
    <w:rsid w:val="007918C6"/>
    <w:rsid w:val="00791CBA"/>
    <w:rsid w:val="00791F46"/>
    <w:rsid w:val="00793213"/>
    <w:rsid w:val="00797844"/>
    <w:rsid w:val="007A6ACD"/>
    <w:rsid w:val="007A75B2"/>
    <w:rsid w:val="007B4285"/>
    <w:rsid w:val="007C0D32"/>
    <w:rsid w:val="007C2296"/>
    <w:rsid w:val="007C38D0"/>
    <w:rsid w:val="007D7EDB"/>
    <w:rsid w:val="007E0B85"/>
    <w:rsid w:val="007E47DB"/>
    <w:rsid w:val="007F3ADB"/>
    <w:rsid w:val="007F4FD7"/>
    <w:rsid w:val="00805B98"/>
    <w:rsid w:val="00806AF4"/>
    <w:rsid w:val="00811110"/>
    <w:rsid w:val="00811983"/>
    <w:rsid w:val="00812C0B"/>
    <w:rsid w:val="00813381"/>
    <w:rsid w:val="00813CD4"/>
    <w:rsid w:val="00815AB6"/>
    <w:rsid w:val="0081735E"/>
    <w:rsid w:val="0082151F"/>
    <w:rsid w:val="008216B0"/>
    <w:rsid w:val="00822956"/>
    <w:rsid w:val="00823AC2"/>
    <w:rsid w:val="00827A9D"/>
    <w:rsid w:val="008339D8"/>
    <w:rsid w:val="00833C90"/>
    <w:rsid w:val="00833EB5"/>
    <w:rsid w:val="00834711"/>
    <w:rsid w:val="00841D22"/>
    <w:rsid w:val="00844CD0"/>
    <w:rsid w:val="008507E0"/>
    <w:rsid w:val="00851788"/>
    <w:rsid w:val="00853774"/>
    <w:rsid w:val="00861B3A"/>
    <w:rsid w:val="00865484"/>
    <w:rsid w:val="00865AB6"/>
    <w:rsid w:val="00871843"/>
    <w:rsid w:val="00871AED"/>
    <w:rsid w:val="00891238"/>
    <w:rsid w:val="00895E05"/>
    <w:rsid w:val="008B1146"/>
    <w:rsid w:val="008B1F28"/>
    <w:rsid w:val="008B224E"/>
    <w:rsid w:val="008B366A"/>
    <w:rsid w:val="008B55AF"/>
    <w:rsid w:val="008B737C"/>
    <w:rsid w:val="008C19F9"/>
    <w:rsid w:val="008C2635"/>
    <w:rsid w:val="008D68BD"/>
    <w:rsid w:val="008E0022"/>
    <w:rsid w:val="008E0E34"/>
    <w:rsid w:val="008E285B"/>
    <w:rsid w:val="008E29E7"/>
    <w:rsid w:val="008E3C35"/>
    <w:rsid w:val="008E63D3"/>
    <w:rsid w:val="008E77D0"/>
    <w:rsid w:val="008F0FDA"/>
    <w:rsid w:val="008F1979"/>
    <w:rsid w:val="008F3653"/>
    <w:rsid w:val="008F4786"/>
    <w:rsid w:val="008F6C77"/>
    <w:rsid w:val="009008AB"/>
    <w:rsid w:val="00900F39"/>
    <w:rsid w:val="00902DBB"/>
    <w:rsid w:val="00907C81"/>
    <w:rsid w:val="00911746"/>
    <w:rsid w:val="009126F9"/>
    <w:rsid w:val="00913064"/>
    <w:rsid w:val="0091307D"/>
    <w:rsid w:val="00914188"/>
    <w:rsid w:val="009141B9"/>
    <w:rsid w:val="00915937"/>
    <w:rsid w:val="009233A0"/>
    <w:rsid w:val="009250CD"/>
    <w:rsid w:val="009269BE"/>
    <w:rsid w:val="00937D8A"/>
    <w:rsid w:val="00943BE4"/>
    <w:rsid w:val="00943F10"/>
    <w:rsid w:val="009465B4"/>
    <w:rsid w:val="00952438"/>
    <w:rsid w:val="00953CB5"/>
    <w:rsid w:val="00954E75"/>
    <w:rsid w:val="009578A3"/>
    <w:rsid w:val="00961780"/>
    <w:rsid w:val="00962BC2"/>
    <w:rsid w:val="00963719"/>
    <w:rsid w:val="00963C11"/>
    <w:rsid w:val="00966B6E"/>
    <w:rsid w:val="00974AF8"/>
    <w:rsid w:val="00977F67"/>
    <w:rsid w:val="00977FF8"/>
    <w:rsid w:val="00980CD7"/>
    <w:rsid w:val="00986653"/>
    <w:rsid w:val="00990CEE"/>
    <w:rsid w:val="009A2D2E"/>
    <w:rsid w:val="009A6452"/>
    <w:rsid w:val="009B1BDC"/>
    <w:rsid w:val="009B355F"/>
    <w:rsid w:val="009B5E9A"/>
    <w:rsid w:val="009B618C"/>
    <w:rsid w:val="009B77B4"/>
    <w:rsid w:val="009C30C5"/>
    <w:rsid w:val="009C3623"/>
    <w:rsid w:val="009C58FE"/>
    <w:rsid w:val="009C7FA7"/>
    <w:rsid w:val="009D0C38"/>
    <w:rsid w:val="009D38E1"/>
    <w:rsid w:val="009D4925"/>
    <w:rsid w:val="009D5F0D"/>
    <w:rsid w:val="009E1940"/>
    <w:rsid w:val="009E45C5"/>
    <w:rsid w:val="009F4AF7"/>
    <w:rsid w:val="009F4D72"/>
    <w:rsid w:val="00A009D0"/>
    <w:rsid w:val="00A029BF"/>
    <w:rsid w:val="00A11873"/>
    <w:rsid w:val="00A13F4D"/>
    <w:rsid w:val="00A15916"/>
    <w:rsid w:val="00A166AD"/>
    <w:rsid w:val="00A1772B"/>
    <w:rsid w:val="00A17BEA"/>
    <w:rsid w:val="00A211B3"/>
    <w:rsid w:val="00A21EBF"/>
    <w:rsid w:val="00A23045"/>
    <w:rsid w:val="00A245E9"/>
    <w:rsid w:val="00A253F9"/>
    <w:rsid w:val="00A314E0"/>
    <w:rsid w:val="00A3467F"/>
    <w:rsid w:val="00A36262"/>
    <w:rsid w:val="00A402D6"/>
    <w:rsid w:val="00A413E9"/>
    <w:rsid w:val="00A4670E"/>
    <w:rsid w:val="00A51097"/>
    <w:rsid w:val="00A54124"/>
    <w:rsid w:val="00A579F0"/>
    <w:rsid w:val="00A6304C"/>
    <w:rsid w:val="00A65530"/>
    <w:rsid w:val="00A709A8"/>
    <w:rsid w:val="00A72F04"/>
    <w:rsid w:val="00A7419B"/>
    <w:rsid w:val="00A747A0"/>
    <w:rsid w:val="00A747D1"/>
    <w:rsid w:val="00A914FA"/>
    <w:rsid w:val="00A92C4D"/>
    <w:rsid w:val="00AA38A3"/>
    <w:rsid w:val="00AA745F"/>
    <w:rsid w:val="00AB4AE7"/>
    <w:rsid w:val="00AB602A"/>
    <w:rsid w:val="00AB6922"/>
    <w:rsid w:val="00AB6D2E"/>
    <w:rsid w:val="00AB75F4"/>
    <w:rsid w:val="00AB7C61"/>
    <w:rsid w:val="00AD24AF"/>
    <w:rsid w:val="00AD63FD"/>
    <w:rsid w:val="00AE1647"/>
    <w:rsid w:val="00AF0A1E"/>
    <w:rsid w:val="00AF2081"/>
    <w:rsid w:val="00AF2430"/>
    <w:rsid w:val="00AF5BF4"/>
    <w:rsid w:val="00B04C82"/>
    <w:rsid w:val="00B12027"/>
    <w:rsid w:val="00B12CE3"/>
    <w:rsid w:val="00B2079F"/>
    <w:rsid w:val="00B25780"/>
    <w:rsid w:val="00B331F0"/>
    <w:rsid w:val="00B3405C"/>
    <w:rsid w:val="00B355B0"/>
    <w:rsid w:val="00B43E06"/>
    <w:rsid w:val="00B46ABF"/>
    <w:rsid w:val="00B5647D"/>
    <w:rsid w:val="00B57CA0"/>
    <w:rsid w:val="00B602BA"/>
    <w:rsid w:val="00B7173F"/>
    <w:rsid w:val="00B722FD"/>
    <w:rsid w:val="00B74250"/>
    <w:rsid w:val="00B7586D"/>
    <w:rsid w:val="00B87FE5"/>
    <w:rsid w:val="00B91948"/>
    <w:rsid w:val="00B94EBC"/>
    <w:rsid w:val="00BA06CE"/>
    <w:rsid w:val="00BA1265"/>
    <w:rsid w:val="00BA358B"/>
    <w:rsid w:val="00BA53E9"/>
    <w:rsid w:val="00BA70BB"/>
    <w:rsid w:val="00BB0315"/>
    <w:rsid w:val="00BB108E"/>
    <w:rsid w:val="00BB2141"/>
    <w:rsid w:val="00BC5B2A"/>
    <w:rsid w:val="00BC60FA"/>
    <w:rsid w:val="00BC6F8A"/>
    <w:rsid w:val="00BD0121"/>
    <w:rsid w:val="00BD111E"/>
    <w:rsid w:val="00BD1E69"/>
    <w:rsid w:val="00BD520D"/>
    <w:rsid w:val="00BE15DA"/>
    <w:rsid w:val="00BE5B8B"/>
    <w:rsid w:val="00BF4A8C"/>
    <w:rsid w:val="00BF5659"/>
    <w:rsid w:val="00BF6E33"/>
    <w:rsid w:val="00C06A24"/>
    <w:rsid w:val="00C07B35"/>
    <w:rsid w:val="00C1215C"/>
    <w:rsid w:val="00C1711A"/>
    <w:rsid w:val="00C17C73"/>
    <w:rsid w:val="00C232E7"/>
    <w:rsid w:val="00C23794"/>
    <w:rsid w:val="00C31572"/>
    <w:rsid w:val="00C316B1"/>
    <w:rsid w:val="00C32459"/>
    <w:rsid w:val="00C32A73"/>
    <w:rsid w:val="00C33FF6"/>
    <w:rsid w:val="00C34835"/>
    <w:rsid w:val="00C3589F"/>
    <w:rsid w:val="00C41A4E"/>
    <w:rsid w:val="00C41E4D"/>
    <w:rsid w:val="00C45F17"/>
    <w:rsid w:val="00C50659"/>
    <w:rsid w:val="00C512AA"/>
    <w:rsid w:val="00C53903"/>
    <w:rsid w:val="00C53E64"/>
    <w:rsid w:val="00C54DA9"/>
    <w:rsid w:val="00C55FA4"/>
    <w:rsid w:val="00C56A01"/>
    <w:rsid w:val="00C579A7"/>
    <w:rsid w:val="00C6446B"/>
    <w:rsid w:val="00C65B9B"/>
    <w:rsid w:val="00C72C72"/>
    <w:rsid w:val="00C76B7D"/>
    <w:rsid w:val="00C83AE9"/>
    <w:rsid w:val="00C85200"/>
    <w:rsid w:val="00C854F8"/>
    <w:rsid w:val="00C90EDC"/>
    <w:rsid w:val="00C91AF6"/>
    <w:rsid w:val="00C9449E"/>
    <w:rsid w:val="00C97A5D"/>
    <w:rsid w:val="00CA1376"/>
    <w:rsid w:val="00CA3D3E"/>
    <w:rsid w:val="00CA5332"/>
    <w:rsid w:val="00CA562E"/>
    <w:rsid w:val="00CB08E1"/>
    <w:rsid w:val="00CB1889"/>
    <w:rsid w:val="00CB1B39"/>
    <w:rsid w:val="00CB4BA3"/>
    <w:rsid w:val="00CB724B"/>
    <w:rsid w:val="00CC3F59"/>
    <w:rsid w:val="00CD3BB2"/>
    <w:rsid w:val="00CE0289"/>
    <w:rsid w:val="00CE0872"/>
    <w:rsid w:val="00CE0C27"/>
    <w:rsid w:val="00CE253D"/>
    <w:rsid w:val="00CE2EF8"/>
    <w:rsid w:val="00CE44A7"/>
    <w:rsid w:val="00CF61C4"/>
    <w:rsid w:val="00D006ED"/>
    <w:rsid w:val="00D07056"/>
    <w:rsid w:val="00D07E82"/>
    <w:rsid w:val="00D119E2"/>
    <w:rsid w:val="00D11C53"/>
    <w:rsid w:val="00D12B77"/>
    <w:rsid w:val="00D150C4"/>
    <w:rsid w:val="00D167EB"/>
    <w:rsid w:val="00D17E61"/>
    <w:rsid w:val="00D17F0A"/>
    <w:rsid w:val="00D201DD"/>
    <w:rsid w:val="00D363FD"/>
    <w:rsid w:val="00D412B3"/>
    <w:rsid w:val="00D421AA"/>
    <w:rsid w:val="00D4494B"/>
    <w:rsid w:val="00D46B77"/>
    <w:rsid w:val="00D479E4"/>
    <w:rsid w:val="00D51869"/>
    <w:rsid w:val="00D55123"/>
    <w:rsid w:val="00D63EF8"/>
    <w:rsid w:val="00D649A8"/>
    <w:rsid w:val="00D72CD8"/>
    <w:rsid w:val="00D74557"/>
    <w:rsid w:val="00D81579"/>
    <w:rsid w:val="00D82069"/>
    <w:rsid w:val="00D85026"/>
    <w:rsid w:val="00D850FF"/>
    <w:rsid w:val="00D92E23"/>
    <w:rsid w:val="00D94331"/>
    <w:rsid w:val="00DA28AC"/>
    <w:rsid w:val="00DA4B7B"/>
    <w:rsid w:val="00DA6592"/>
    <w:rsid w:val="00DA7BC2"/>
    <w:rsid w:val="00DB0820"/>
    <w:rsid w:val="00DB2FD1"/>
    <w:rsid w:val="00DB420C"/>
    <w:rsid w:val="00DB464E"/>
    <w:rsid w:val="00DB4E5E"/>
    <w:rsid w:val="00DB6546"/>
    <w:rsid w:val="00DB7B1F"/>
    <w:rsid w:val="00DC0842"/>
    <w:rsid w:val="00DD0443"/>
    <w:rsid w:val="00DD3413"/>
    <w:rsid w:val="00DE06F9"/>
    <w:rsid w:val="00DE4796"/>
    <w:rsid w:val="00DE6FC9"/>
    <w:rsid w:val="00DF1DC6"/>
    <w:rsid w:val="00DF6517"/>
    <w:rsid w:val="00DF759F"/>
    <w:rsid w:val="00E001F7"/>
    <w:rsid w:val="00E027A2"/>
    <w:rsid w:val="00E05A17"/>
    <w:rsid w:val="00E07347"/>
    <w:rsid w:val="00E11075"/>
    <w:rsid w:val="00E12D87"/>
    <w:rsid w:val="00E13A67"/>
    <w:rsid w:val="00E13EFE"/>
    <w:rsid w:val="00E27F7E"/>
    <w:rsid w:val="00E403D3"/>
    <w:rsid w:val="00E417EB"/>
    <w:rsid w:val="00E42678"/>
    <w:rsid w:val="00E43CFF"/>
    <w:rsid w:val="00E4542F"/>
    <w:rsid w:val="00E46045"/>
    <w:rsid w:val="00E569D6"/>
    <w:rsid w:val="00E57A90"/>
    <w:rsid w:val="00E608CE"/>
    <w:rsid w:val="00E61361"/>
    <w:rsid w:val="00E647CB"/>
    <w:rsid w:val="00E70D7F"/>
    <w:rsid w:val="00E74BB5"/>
    <w:rsid w:val="00E85492"/>
    <w:rsid w:val="00E85DDA"/>
    <w:rsid w:val="00E91E85"/>
    <w:rsid w:val="00E965A3"/>
    <w:rsid w:val="00E96CFA"/>
    <w:rsid w:val="00EA0293"/>
    <w:rsid w:val="00EA0BFA"/>
    <w:rsid w:val="00EA255B"/>
    <w:rsid w:val="00EA3B9E"/>
    <w:rsid w:val="00EB1D9E"/>
    <w:rsid w:val="00EB5CDC"/>
    <w:rsid w:val="00ED05C2"/>
    <w:rsid w:val="00ED0679"/>
    <w:rsid w:val="00ED124A"/>
    <w:rsid w:val="00ED3C0A"/>
    <w:rsid w:val="00ED4BF2"/>
    <w:rsid w:val="00ED73F7"/>
    <w:rsid w:val="00ED7870"/>
    <w:rsid w:val="00EE330D"/>
    <w:rsid w:val="00EE4400"/>
    <w:rsid w:val="00EF0302"/>
    <w:rsid w:val="00EF0F07"/>
    <w:rsid w:val="00EF4B0C"/>
    <w:rsid w:val="00EF574E"/>
    <w:rsid w:val="00EF6C79"/>
    <w:rsid w:val="00EF707A"/>
    <w:rsid w:val="00EF7E72"/>
    <w:rsid w:val="00F030D8"/>
    <w:rsid w:val="00F06294"/>
    <w:rsid w:val="00F0762F"/>
    <w:rsid w:val="00F11CE3"/>
    <w:rsid w:val="00F14C8C"/>
    <w:rsid w:val="00F154A5"/>
    <w:rsid w:val="00F168C7"/>
    <w:rsid w:val="00F16948"/>
    <w:rsid w:val="00F221A1"/>
    <w:rsid w:val="00F25678"/>
    <w:rsid w:val="00F31476"/>
    <w:rsid w:val="00F31B59"/>
    <w:rsid w:val="00F320B2"/>
    <w:rsid w:val="00F321DC"/>
    <w:rsid w:val="00F3285E"/>
    <w:rsid w:val="00F34AC9"/>
    <w:rsid w:val="00F37169"/>
    <w:rsid w:val="00F46366"/>
    <w:rsid w:val="00F46FAB"/>
    <w:rsid w:val="00F475A5"/>
    <w:rsid w:val="00F47B08"/>
    <w:rsid w:val="00F503DD"/>
    <w:rsid w:val="00F61BFC"/>
    <w:rsid w:val="00F62333"/>
    <w:rsid w:val="00F62FB5"/>
    <w:rsid w:val="00F64F1C"/>
    <w:rsid w:val="00F71951"/>
    <w:rsid w:val="00F725BE"/>
    <w:rsid w:val="00F741B0"/>
    <w:rsid w:val="00F80191"/>
    <w:rsid w:val="00F813EC"/>
    <w:rsid w:val="00F90331"/>
    <w:rsid w:val="00F9073A"/>
    <w:rsid w:val="00F929F4"/>
    <w:rsid w:val="00F96B50"/>
    <w:rsid w:val="00FA16C8"/>
    <w:rsid w:val="00FA502A"/>
    <w:rsid w:val="00FA5C0C"/>
    <w:rsid w:val="00FB07E7"/>
    <w:rsid w:val="00FB0B69"/>
    <w:rsid w:val="00FB23B4"/>
    <w:rsid w:val="00FB6A10"/>
    <w:rsid w:val="00FC20AC"/>
    <w:rsid w:val="00FC25B6"/>
    <w:rsid w:val="00FC3DDC"/>
    <w:rsid w:val="00FD22B7"/>
    <w:rsid w:val="00FD4D96"/>
    <w:rsid w:val="00FD5064"/>
    <w:rsid w:val="00FD7CF1"/>
    <w:rsid w:val="00FE1183"/>
    <w:rsid w:val="00FE44B8"/>
    <w:rsid w:val="00FE691E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v-text-anchor:middle" fillcolor="none [3206]" strokecolor="none [1606]">
      <v:fill color="none [3206]"/>
      <v:stroke color="none [1606]" weight="2pt"/>
    </o:shapedefaults>
    <o:shapelayout v:ext="edit">
      <o:idmap v:ext="edit" data="1"/>
    </o:shapelayout>
  </w:shapeDefaults>
  <w:decimalSymbol w:val=","/>
  <w:listSeparator w:val=";"/>
  <w14:docId w14:val="5BEE58A8"/>
  <w15:docId w15:val="{34F50922-4620-47A9-8FCB-6DBE29E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F6E"/>
    <w:pPr>
      <w:spacing w:after="200" w:line="276" w:lineRule="auto"/>
    </w:pPr>
    <w:rPr>
      <w:rFonts w:ascii="Calibri" w:eastAsiaTheme="minorHAnsi" w:hAnsi="Calibri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7375F"/>
    <w:pPr>
      <w:keepNext/>
      <w:keepLines/>
      <w:numPr>
        <w:numId w:val="23"/>
      </w:numPr>
      <w:tabs>
        <w:tab w:val="left" w:pos="993"/>
      </w:tabs>
      <w:spacing w:before="240" w:after="120" w:line="240" w:lineRule="auto"/>
      <w:ind w:left="714" w:hanging="357"/>
      <w:outlineLvl w:val="0"/>
    </w:pPr>
    <w:rPr>
      <w:rFonts w:ascii="Times New Roman" w:eastAsiaTheme="majorEastAsia" w:hAnsi="Times New Roman" w:cs="Times New Roman"/>
      <w:b/>
      <w:bCs/>
      <w:color w:val="0070C0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3D60"/>
    <w:pPr>
      <w:keepNext/>
      <w:keepLines/>
      <w:numPr>
        <w:numId w:val="24"/>
      </w:numPr>
      <w:spacing w:before="240" w:after="120" w:line="288" w:lineRule="auto"/>
      <w:outlineLvl w:val="1"/>
    </w:pPr>
    <w:rPr>
      <w:rFonts w:ascii="Times New Roman" w:eastAsiaTheme="majorEastAsia" w:hAnsi="Times New Roman" w:cs="Times New Roman"/>
      <w:b/>
      <w:bCs/>
      <w:color w:val="0070C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3E"/>
    <w:pPr>
      <w:keepNext/>
      <w:keepLines/>
      <w:numPr>
        <w:numId w:val="25"/>
      </w:numPr>
      <w:spacing w:after="0" w:line="288" w:lineRule="auto"/>
      <w:outlineLvl w:val="2"/>
    </w:pPr>
    <w:rPr>
      <w:rFonts w:ascii="Arial" w:eastAsiaTheme="majorEastAsia" w:hAnsi="Arial" w:cstheme="majorBidi"/>
      <w:b/>
      <w:bCs/>
      <w:color w:val="00B050"/>
      <w:sz w:val="23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ind w:left="3969"/>
      <w:outlineLvl w:val="3"/>
    </w:pPr>
    <w:rPr>
      <w:rFonts w:cs="Times New Roman"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B737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B737C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70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7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75F"/>
    <w:rPr>
      <w:rFonts w:eastAsiaTheme="majorEastAsia"/>
      <w:b/>
      <w:bCs/>
      <w:color w:val="0070C0"/>
      <w:sz w:val="30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D07056"/>
    <w:rPr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B737C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B737C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70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F7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7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65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44B6B"/>
    <w:rPr>
      <w:rFonts w:ascii="Calibri" w:eastAsiaTheme="minorHAnsi" w:hAnsi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56"/>
    <w:rPr>
      <w:rFonts w:ascii="Calibri" w:eastAsiaTheme="minorHAnsi" w:hAnsi="Calibri" w:cstheme="minorBidi"/>
      <w:szCs w:val="22"/>
      <w:lang w:eastAsia="en-US"/>
    </w:rPr>
  </w:style>
  <w:style w:type="character" w:styleId="Numerstrony">
    <w:name w:val="page number"/>
    <w:basedOn w:val="Domylnaczcionkaakapitu"/>
    <w:semiHidden/>
    <w:rsid w:val="0063240F"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rsid w:val="0063240F"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63240F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before="60"/>
      <w:jc w:val="both"/>
    </w:pPr>
    <w:rPr>
      <w:rFonts w:ascii="Arial" w:hAnsi="Arial"/>
      <w:spacing w:val="10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056"/>
    <w:rPr>
      <w:rFonts w:ascii="Arial" w:hAnsi="Arial" w:cs="Arial"/>
      <w:spacing w:val="10"/>
      <w:sz w:val="22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617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7056"/>
    <w:rPr>
      <w:sz w:val="16"/>
      <w:szCs w:val="16"/>
    </w:rPr>
  </w:style>
  <w:style w:type="paragraph" w:styleId="Tekstpodstawowy3">
    <w:name w:val="Body Text 3"/>
    <w:basedOn w:val="Normalny"/>
    <w:semiHidden/>
    <w:rsid w:val="0063240F"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rsid w:val="0063240F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semiHidden/>
    <w:rsid w:val="0063240F"/>
    <w:pPr>
      <w:spacing w:before="60"/>
      <w:ind w:left="357"/>
      <w:jc w:val="both"/>
    </w:pPr>
    <w:rPr>
      <w:rFonts w:ascii="Arial" w:hAnsi="Arial"/>
    </w:rPr>
  </w:style>
  <w:style w:type="character" w:styleId="Pogrubienie">
    <w:name w:val="Strong"/>
    <w:qFormat/>
    <w:rsid w:val="0063240F"/>
    <w:rPr>
      <w:b/>
      <w:bCs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D07056"/>
    <w:rPr>
      <w:rFonts w:cs="Arial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961780"/>
    <w:pPr>
      <w:spacing w:after="120" w:line="480" w:lineRule="auto"/>
      <w:ind w:left="283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3240F"/>
    <w:rPr>
      <w:rFonts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A5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31"/>
    <w:rPr>
      <w:color w:val="0000FF" w:themeColor="hyperlink"/>
      <w:u w:val="single"/>
    </w:rPr>
  </w:style>
  <w:style w:type="paragraph" w:customStyle="1" w:styleId="Default">
    <w:name w:val="Default"/>
    <w:rsid w:val="000325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7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EA"/>
    <w:pPr>
      <w:spacing w:line="240" w:lineRule="auto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2F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96D"/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2FD"/>
    <w:rPr>
      <w:rFonts w:ascii="Calibri" w:eastAsiaTheme="minorHAnsi" w:hAnsi="Calibr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2F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FRON">
    <w:name w:val="PFRON"/>
    <w:basedOn w:val="Normalny"/>
    <w:rsid w:val="000F73B6"/>
    <w:rPr>
      <w:rFonts w:cs="Times New Roman"/>
      <w:szCs w:val="20"/>
    </w:rPr>
  </w:style>
  <w:style w:type="character" w:customStyle="1" w:styleId="FontStyle14">
    <w:name w:val="Font Style14"/>
    <w:uiPriority w:val="99"/>
    <w:rsid w:val="000F73B6"/>
    <w:rPr>
      <w:rFonts w:ascii="Times New Roman" w:hAnsi="Times New Roman" w:cs="Times New Roman" w:hint="default"/>
      <w:sz w:val="20"/>
      <w:szCs w:val="20"/>
    </w:rPr>
  </w:style>
  <w:style w:type="table" w:styleId="Tabela-Siatka">
    <w:name w:val="Table Grid"/>
    <w:basedOn w:val="Standardowy"/>
    <w:uiPriority w:val="59"/>
    <w:rsid w:val="001F3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D07056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Normalny"/>
    <w:rsid w:val="00D07056"/>
    <w:pPr>
      <w:autoSpaceDE w:val="0"/>
      <w:autoSpaceDN w:val="0"/>
    </w:pPr>
    <w:rPr>
      <w:rFonts w:cs="Times New Roman"/>
      <w:noProof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6F1479"/>
    <w:pPr>
      <w:numPr>
        <w:numId w:val="21"/>
      </w:numPr>
      <w:autoSpaceDE w:val="0"/>
      <w:autoSpaceDN w:val="0"/>
      <w:adjustRightInd w:val="0"/>
      <w:spacing w:before="480" w:after="120" w:line="288" w:lineRule="auto"/>
      <w:ind w:left="714" w:hanging="357"/>
      <w:jc w:val="both"/>
      <w:outlineLvl w:val="0"/>
    </w:pPr>
    <w:rPr>
      <w:rFonts w:ascii="Arial" w:hAnsi="Arial" w:cs="Arial"/>
      <w:b/>
      <w:color w:val="0070C0"/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D07056"/>
    <w:rPr>
      <w:rFonts w:ascii="Arial" w:eastAsiaTheme="minorHAnsi" w:hAnsi="Arial" w:cs="Arial"/>
      <w:b/>
      <w:color w:val="0070C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82151F"/>
    <w:pPr>
      <w:spacing w:before="60"/>
      <w:ind w:left="568" w:hanging="284"/>
    </w:pPr>
    <w:rPr>
      <w:rFonts w:cs="Times New Roman"/>
      <w:b/>
      <w:i/>
      <w:szCs w:val="20"/>
    </w:rPr>
  </w:style>
  <w:style w:type="paragraph" w:customStyle="1" w:styleId="Ust">
    <w:name w:val="Ust."/>
    <w:basedOn w:val="Normalny"/>
    <w:rsid w:val="0082151F"/>
    <w:pPr>
      <w:ind w:left="284" w:hanging="284"/>
      <w:jc w:val="both"/>
    </w:pPr>
    <w:rPr>
      <w:rFonts w:cs="Times New Roman"/>
      <w:szCs w:val="20"/>
    </w:rPr>
  </w:style>
  <w:style w:type="paragraph" w:customStyle="1" w:styleId="ust1">
    <w:name w:val="ust 1"/>
    <w:basedOn w:val="Ust"/>
    <w:rsid w:val="0082151F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2151F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cs="Times New Roman"/>
      <w:b/>
      <w:bCs/>
      <w:sz w:val="26"/>
      <w:szCs w:val="26"/>
    </w:rPr>
  </w:style>
  <w:style w:type="paragraph" w:customStyle="1" w:styleId="xl65">
    <w:name w:val="xl65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</w:rPr>
  </w:style>
  <w:style w:type="paragraph" w:customStyle="1" w:styleId="xl66">
    <w:name w:val="xl66"/>
    <w:basedOn w:val="Normalny"/>
    <w:rsid w:val="0035388A"/>
    <w:pPr>
      <w:spacing w:before="100" w:beforeAutospacing="1" w:after="100" w:afterAutospacing="1"/>
    </w:pPr>
    <w:rPr>
      <w:rFonts w:ascii="Arial CE" w:hAnsi="Arial CE" w:cs="Times New Roman"/>
      <w:sz w:val="18"/>
      <w:szCs w:val="18"/>
    </w:rPr>
  </w:style>
  <w:style w:type="paragraph" w:customStyle="1" w:styleId="xl67">
    <w:name w:val="xl67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8">
    <w:name w:val="xl68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69">
    <w:name w:val="xl6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0">
    <w:name w:val="xl7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2"/>
      <w:szCs w:val="12"/>
    </w:rPr>
  </w:style>
  <w:style w:type="paragraph" w:customStyle="1" w:styleId="xl73">
    <w:name w:val="xl7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74">
    <w:name w:val="xl7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6">
    <w:name w:val="xl76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1">
    <w:name w:val="xl81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82">
    <w:name w:val="xl8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83">
    <w:name w:val="xl83"/>
    <w:basedOn w:val="Normalny"/>
    <w:rsid w:val="0035388A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4">
    <w:name w:val="xl84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5">
    <w:name w:val="xl85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86">
    <w:name w:val="xl86"/>
    <w:basedOn w:val="Normalny"/>
    <w:rsid w:val="0035388A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8">
    <w:name w:val="xl88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89">
    <w:name w:val="xl89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7">
    <w:name w:val="xl97"/>
    <w:basedOn w:val="Normalny"/>
    <w:rsid w:val="0035388A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Normalny"/>
    <w:rsid w:val="0035388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99">
    <w:name w:val="xl99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01">
    <w:name w:val="xl101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2">
    <w:name w:val="xl102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3">
    <w:name w:val="xl103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4">
    <w:name w:val="xl10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05">
    <w:name w:val="xl105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  <w:b/>
      <w:bCs/>
    </w:rPr>
  </w:style>
  <w:style w:type="paragraph" w:customStyle="1" w:styleId="xl106">
    <w:name w:val="xl10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7">
    <w:name w:val="xl10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8">
    <w:name w:val="xl108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09">
    <w:name w:val="xl109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10">
    <w:name w:val="xl11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11">
    <w:name w:val="xl111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rFonts w:cs="Times New Roman"/>
    </w:rPr>
  </w:style>
  <w:style w:type="paragraph" w:customStyle="1" w:styleId="xl112">
    <w:name w:val="xl112"/>
    <w:basedOn w:val="Normalny"/>
    <w:rsid w:val="0035388A"/>
    <w:pPr>
      <w:spacing w:before="100" w:beforeAutospacing="1" w:after="100" w:afterAutospacing="1"/>
      <w:textAlignment w:val="center"/>
    </w:pPr>
    <w:rPr>
      <w:rFonts w:ascii="Arial CE" w:hAnsi="Arial CE" w:cs="Times New Roman"/>
    </w:rPr>
  </w:style>
  <w:style w:type="paragraph" w:customStyle="1" w:styleId="xl113">
    <w:name w:val="xl11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4">
    <w:name w:val="xl114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5">
    <w:name w:val="xl115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16">
    <w:name w:val="xl116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17">
    <w:name w:val="xl117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8">
    <w:name w:val="xl118"/>
    <w:basedOn w:val="Normalny"/>
    <w:rsid w:val="0035388A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19">
    <w:name w:val="xl119"/>
    <w:basedOn w:val="Normalny"/>
    <w:rsid w:val="0035388A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20">
    <w:name w:val="xl120"/>
    <w:basedOn w:val="Normalny"/>
    <w:rsid w:val="0035388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21">
    <w:name w:val="xl121"/>
    <w:basedOn w:val="Normalny"/>
    <w:rsid w:val="0035388A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22">
    <w:name w:val="xl122"/>
    <w:basedOn w:val="Normalny"/>
    <w:rsid w:val="003538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35388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4">
    <w:name w:val="xl124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125">
    <w:name w:val="xl125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26">
    <w:name w:val="xl12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27">
    <w:name w:val="xl12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28">
    <w:name w:val="xl12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1">
    <w:name w:val="xl131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2">
    <w:name w:val="xl132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3">
    <w:name w:val="xl133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4">
    <w:name w:val="xl134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36">
    <w:name w:val="xl136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7">
    <w:name w:val="xl137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38">
    <w:name w:val="xl138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39">
    <w:name w:val="xl13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0">
    <w:name w:val="xl140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1">
    <w:name w:val="xl141"/>
    <w:basedOn w:val="Normalny"/>
    <w:rsid w:val="003538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2">
    <w:name w:val="xl142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3">
    <w:name w:val="xl143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4">
    <w:name w:val="xl144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5">
    <w:name w:val="xl145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46">
    <w:name w:val="xl146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47">
    <w:name w:val="xl147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48">
    <w:name w:val="xl148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49">
    <w:name w:val="xl149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0">
    <w:name w:val="xl150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1">
    <w:name w:val="xl15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2">
    <w:name w:val="xl152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3">
    <w:name w:val="xl153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4">
    <w:name w:val="xl15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55">
    <w:name w:val="xl155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56">
    <w:name w:val="xl156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7">
    <w:name w:val="xl157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58">
    <w:name w:val="xl158"/>
    <w:basedOn w:val="Normalny"/>
    <w:rsid w:val="0035388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59">
    <w:name w:val="xl159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60">
    <w:name w:val="xl160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61">
    <w:name w:val="xl161"/>
    <w:basedOn w:val="Normalny"/>
    <w:rsid w:val="00353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62">
    <w:name w:val="xl162"/>
    <w:basedOn w:val="Normalny"/>
    <w:rsid w:val="003538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Cs w:val="20"/>
    </w:rPr>
  </w:style>
  <w:style w:type="paragraph" w:customStyle="1" w:styleId="xl163">
    <w:name w:val="xl163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64">
    <w:name w:val="xl164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165">
    <w:name w:val="xl16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66">
    <w:name w:val="xl16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7">
    <w:name w:val="xl167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8">
    <w:name w:val="xl16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</w:rPr>
  </w:style>
  <w:style w:type="paragraph" w:customStyle="1" w:styleId="xl169">
    <w:name w:val="xl16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70">
    <w:name w:val="xl17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1">
    <w:name w:val="xl171"/>
    <w:basedOn w:val="Normalny"/>
    <w:rsid w:val="0035388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2">
    <w:name w:val="xl172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</w:rPr>
  </w:style>
  <w:style w:type="paragraph" w:customStyle="1" w:styleId="xl173">
    <w:name w:val="xl173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4">
    <w:name w:val="xl17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5">
    <w:name w:val="xl175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6">
    <w:name w:val="xl17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7">
    <w:name w:val="xl17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8">
    <w:name w:val="xl178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179">
    <w:name w:val="xl17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180">
    <w:name w:val="xl180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81">
    <w:name w:val="xl181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82">
    <w:name w:val="xl182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3">
    <w:name w:val="xl183"/>
    <w:basedOn w:val="Normalny"/>
    <w:rsid w:val="003538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184">
    <w:name w:val="xl18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5">
    <w:name w:val="xl185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6">
    <w:name w:val="xl186"/>
    <w:basedOn w:val="Normalny"/>
    <w:rsid w:val="0035388A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87">
    <w:name w:val="xl18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8">
    <w:name w:val="xl188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89">
    <w:name w:val="xl18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0">
    <w:name w:val="xl190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1">
    <w:name w:val="xl191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193">
    <w:name w:val="xl19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5">
    <w:name w:val="xl195"/>
    <w:basedOn w:val="Normalny"/>
    <w:rsid w:val="0035388A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6">
    <w:name w:val="xl196"/>
    <w:basedOn w:val="Normalny"/>
    <w:rsid w:val="0035388A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cs="Times New Roman"/>
    </w:rPr>
  </w:style>
  <w:style w:type="paragraph" w:customStyle="1" w:styleId="xl197">
    <w:name w:val="xl197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198">
    <w:name w:val="xl19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03">
    <w:name w:val="xl203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4">
    <w:name w:val="xl204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5">
    <w:name w:val="xl205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206">
    <w:name w:val="xl206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7">
    <w:name w:val="xl207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8">
    <w:name w:val="xl208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09">
    <w:name w:val="xl20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210">
    <w:name w:val="xl210"/>
    <w:basedOn w:val="Normalny"/>
    <w:rsid w:val="003538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353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3538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3">
    <w:name w:val="xl213"/>
    <w:basedOn w:val="Normalny"/>
    <w:rsid w:val="0035388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14">
    <w:name w:val="xl214"/>
    <w:basedOn w:val="Normalny"/>
    <w:rsid w:val="003538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15">
    <w:name w:val="xl215"/>
    <w:basedOn w:val="Normalny"/>
    <w:rsid w:val="003538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3538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17">
    <w:name w:val="xl21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18">
    <w:name w:val="xl218"/>
    <w:basedOn w:val="Normalny"/>
    <w:rsid w:val="0035388A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19">
    <w:name w:val="xl219"/>
    <w:basedOn w:val="Normalny"/>
    <w:rsid w:val="0035388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20">
    <w:name w:val="xl220"/>
    <w:basedOn w:val="Normalny"/>
    <w:rsid w:val="0035388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cs="Times New Roman"/>
      <w:b/>
      <w:bCs/>
      <w:sz w:val="22"/>
    </w:rPr>
  </w:style>
  <w:style w:type="paragraph" w:customStyle="1" w:styleId="xl221">
    <w:name w:val="xl221"/>
    <w:basedOn w:val="Normalny"/>
    <w:rsid w:val="003538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</w:rPr>
  </w:style>
  <w:style w:type="paragraph" w:customStyle="1" w:styleId="xl222">
    <w:name w:val="xl222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3">
    <w:name w:val="xl223"/>
    <w:basedOn w:val="Normalny"/>
    <w:rsid w:val="00353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</w:rPr>
  </w:style>
  <w:style w:type="paragraph" w:customStyle="1" w:styleId="xl224">
    <w:name w:val="xl224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5">
    <w:name w:val="xl22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6">
    <w:name w:val="xl22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cs="Times New Roman"/>
      <w:b/>
      <w:bCs/>
      <w:sz w:val="18"/>
      <w:szCs w:val="18"/>
    </w:rPr>
  </w:style>
  <w:style w:type="paragraph" w:customStyle="1" w:styleId="xl227">
    <w:name w:val="xl22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rFonts w:cs="Times New Roman"/>
      <w:b/>
      <w:bCs/>
      <w:sz w:val="22"/>
    </w:rPr>
  </w:style>
  <w:style w:type="paragraph" w:customStyle="1" w:styleId="xl228">
    <w:name w:val="xl228"/>
    <w:basedOn w:val="Normalny"/>
    <w:rsid w:val="0035388A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 w:cs="Times New Roman"/>
      <w:szCs w:val="20"/>
    </w:rPr>
  </w:style>
  <w:style w:type="paragraph" w:customStyle="1" w:styleId="xl229">
    <w:name w:val="xl229"/>
    <w:basedOn w:val="Normalny"/>
    <w:rsid w:val="003538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0">
    <w:name w:val="xl230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1">
    <w:name w:val="xl231"/>
    <w:basedOn w:val="Normalny"/>
    <w:rsid w:val="003538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32">
    <w:name w:val="xl232"/>
    <w:basedOn w:val="Normalny"/>
    <w:rsid w:val="003538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3">
    <w:name w:val="xl233"/>
    <w:basedOn w:val="Normalny"/>
    <w:rsid w:val="003538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2"/>
      <w:szCs w:val="12"/>
    </w:rPr>
  </w:style>
  <w:style w:type="paragraph" w:customStyle="1" w:styleId="xl234">
    <w:name w:val="xl234"/>
    <w:basedOn w:val="Normalny"/>
    <w:rsid w:val="003538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35">
    <w:name w:val="xl235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6">
    <w:name w:val="xl236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37">
    <w:name w:val="xl237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38">
    <w:name w:val="xl23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cs="Times New Roman"/>
      <w:b/>
      <w:bCs/>
      <w:sz w:val="18"/>
      <w:szCs w:val="18"/>
    </w:rPr>
  </w:style>
  <w:style w:type="paragraph" w:customStyle="1" w:styleId="xl239">
    <w:name w:val="xl239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0">
    <w:name w:val="xl240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1">
    <w:name w:val="xl241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242">
    <w:name w:val="xl242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cs="Times New Roman"/>
      <w:b/>
      <w:bCs/>
      <w:sz w:val="18"/>
      <w:szCs w:val="18"/>
    </w:rPr>
  </w:style>
  <w:style w:type="paragraph" w:customStyle="1" w:styleId="xl243">
    <w:name w:val="xl243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4">
    <w:name w:val="xl244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5">
    <w:name w:val="xl245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Times New Roman"/>
      <w:b/>
      <w:bCs/>
      <w:sz w:val="18"/>
      <w:szCs w:val="18"/>
    </w:rPr>
  </w:style>
  <w:style w:type="paragraph" w:customStyle="1" w:styleId="xl246">
    <w:name w:val="xl246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7">
    <w:name w:val="xl247"/>
    <w:basedOn w:val="Normalny"/>
    <w:rsid w:val="003538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8">
    <w:name w:val="xl248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49">
    <w:name w:val="xl249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0">
    <w:name w:val="xl250"/>
    <w:basedOn w:val="Normalny"/>
    <w:rsid w:val="0035388A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1">
    <w:name w:val="xl251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52">
    <w:name w:val="xl252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3">
    <w:name w:val="xl253"/>
    <w:basedOn w:val="Normalny"/>
    <w:rsid w:val="0035388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54">
    <w:name w:val="xl254"/>
    <w:basedOn w:val="Normalny"/>
    <w:rsid w:val="003538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5">
    <w:name w:val="xl255"/>
    <w:basedOn w:val="Normalny"/>
    <w:rsid w:val="003538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6">
    <w:name w:val="xl256"/>
    <w:basedOn w:val="Normalny"/>
    <w:rsid w:val="003538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 w:cs="Times New Roman"/>
      <w:b/>
      <w:bCs/>
    </w:rPr>
  </w:style>
  <w:style w:type="paragraph" w:customStyle="1" w:styleId="xl257">
    <w:name w:val="xl257"/>
    <w:basedOn w:val="Normalny"/>
    <w:rsid w:val="0035388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8">
    <w:name w:val="xl258"/>
    <w:basedOn w:val="Normalny"/>
    <w:rsid w:val="0035388A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259">
    <w:name w:val="xl259"/>
    <w:basedOn w:val="Normalny"/>
    <w:rsid w:val="003538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3538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3">
    <w:name w:val="xl263"/>
    <w:basedOn w:val="Normalny"/>
    <w:rsid w:val="003538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64">
    <w:name w:val="xl264"/>
    <w:basedOn w:val="Normalny"/>
    <w:rsid w:val="003538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5">
    <w:name w:val="xl265"/>
    <w:basedOn w:val="Normalny"/>
    <w:rsid w:val="0035388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266">
    <w:name w:val="xl266"/>
    <w:basedOn w:val="Normalny"/>
    <w:rsid w:val="003538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7">
    <w:name w:val="xl267"/>
    <w:basedOn w:val="Normalny"/>
    <w:rsid w:val="003538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</w:rPr>
  </w:style>
  <w:style w:type="paragraph" w:customStyle="1" w:styleId="xl268">
    <w:name w:val="xl268"/>
    <w:basedOn w:val="Normalny"/>
    <w:rsid w:val="0035388A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35388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35388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35388A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2">
    <w:name w:val="xl272"/>
    <w:basedOn w:val="Normalny"/>
    <w:rsid w:val="0035388A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3">
    <w:name w:val="xl273"/>
    <w:basedOn w:val="Normalny"/>
    <w:rsid w:val="0035388A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4">
    <w:name w:val="xl274"/>
    <w:basedOn w:val="Normalny"/>
    <w:rsid w:val="0035388A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5">
    <w:name w:val="xl275"/>
    <w:basedOn w:val="Normalny"/>
    <w:rsid w:val="0035388A"/>
    <w:pP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6">
    <w:name w:val="xl276"/>
    <w:basedOn w:val="Normalny"/>
    <w:rsid w:val="0035388A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7">
    <w:name w:val="xl277"/>
    <w:basedOn w:val="Normalny"/>
    <w:rsid w:val="0035388A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8">
    <w:name w:val="xl278"/>
    <w:basedOn w:val="Normalny"/>
    <w:rsid w:val="0035388A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79">
    <w:name w:val="xl279"/>
    <w:basedOn w:val="Normalny"/>
    <w:rsid w:val="0035388A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280">
    <w:name w:val="xl280"/>
    <w:basedOn w:val="Normalny"/>
    <w:rsid w:val="003538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1">
    <w:name w:val="xl281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 w:cs="Times New Roman"/>
      <w:sz w:val="18"/>
      <w:szCs w:val="18"/>
    </w:rPr>
  </w:style>
  <w:style w:type="paragraph" w:customStyle="1" w:styleId="xl282">
    <w:name w:val="xl282"/>
    <w:basedOn w:val="Normalny"/>
    <w:rsid w:val="0035388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3">
    <w:name w:val="xl283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xl284">
    <w:name w:val="xl284"/>
    <w:basedOn w:val="Normalny"/>
    <w:rsid w:val="003538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C06A24"/>
    <w:pPr>
      <w:spacing w:before="60"/>
      <w:ind w:left="568" w:hanging="284"/>
    </w:pPr>
    <w:rPr>
      <w:rFonts w:cs="Times New Roman"/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762F"/>
    <w:pPr>
      <w:tabs>
        <w:tab w:val="left" w:pos="660"/>
        <w:tab w:val="right" w:leader="dot" w:pos="9062"/>
      </w:tabs>
      <w:spacing w:after="100"/>
      <w:ind w:left="709" w:hanging="48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762F"/>
    <w:pPr>
      <w:tabs>
        <w:tab w:val="left" w:pos="426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3589F"/>
    <w:pPr>
      <w:spacing w:after="100"/>
      <w:ind w:left="440"/>
    </w:pPr>
    <w:rPr>
      <w:rFonts w:asciiTheme="minorHAnsi" w:eastAsiaTheme="minorEastAsia" w:hAnsiTheme="minorHAnsi"/>
      <w:sz w:val="22"/>
      <w:lang w:eastAsia="pl-PL"/>
    </w:rPr>
  </w:style>
  <w:style w:type="paragraph" w:customStyle="1" w:styleId="poziom2">
    <w:name w:val="poziom 2"/>
    <w:basedOn w:val="Normalny"/>
    <w:link w:val="poziom2Znak"/>
    <w:autoRedefine/>
    <w:qFormat/>
    <w:rsid w:val="002F7449"/>
    <w:pPr>
      <w:numPr>
        <w:numId w:val="20"/>
      </w:numPr>
      <w:autoSpaceDE w:val="0"/>
      <w:autoSpaceDN w:val="0"/>
      <w:adjustRightInd w:val="0"/>
      <w:spacing w:after="0" w:line="288" w:lineRule="auto"/>
      <w:ind w:left="1560"/>
      <w:jc w:val="both"/>
      <w:outlineLvl w:val="1"/>
    </w:pPr>
    <w:rPr>
      <w:rFonts w:ascii="Arial" w:hAnsi="Arial" w:cs="Arial"/>
      <w:b/>
      <w:color w:val="00B050"/>
      <w:szCs w:val="20"/>
    </w:rPr>
  </w:style>
  <w:style w:type="character" w:customStyle="1" w:styleId="poziom2Znak">
    <w:name w:val="poziom 2 Znak"/>
    <w:basedOn w:val="Domylnaczcionkaakapitu"/>
    <w:link w:val="poziom2"/>
    <w:rsid w:val="00DA28AC"/>
    <w:rPr>
      <w:rFonts w:ascii="Arial" w:eastAsiaTheme="minorHAnsi" w:hAnsi="Arial" w:cs="Arial"/>
      <w:b/>
      <w:color w:val="00B05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35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2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0F31"/>
    <w:pPr>
      <w:outlineLvl w:val="9"/>
    </w:pPr>
    <w:rPr>
      <w:lang w:eastAsia="pl-PL"/>
    </w:rPr>
  </w:style>
  <w:style w:type="paragraph" w:customStyle="1" w:styleId="poziom3">
    <w:name w:val="poziom 3"/>
    <w:basedOn w:val="poziom2"/>
    <w:link w:val="poziom3Znak"/>
    <w:qFormat/>
    <w:rsid w:val="00DA28AC"/>
    <w:rPr>
      <w:b w:val="0"/>
    </w:rPr>
  </w:style>
  <w:style w:type="paragraph" w:styleId="Bezodstpw">
    <w:name w:val="No Spacing"/>
    <w:link w:val="BezodstpwZnak"/>
    <w:uiPriority w:val="1"/>
    <w:qFormat/>
    <w:rsid w:val="00DA28AC"/>
    <w:rPr>
      <w:rFonts w:asciiTheme="minorHAnsi" w:eastAsiaTheme="minorEastAsia" w:hAnsiTheme="minorHAnsi" w:cstheme="minorBidi"/>
      <w:sz w:val="22"/>
      <w:szCs w:val="22"/>
    </w:rPr>
  </w:style>
  <w:style w:type="character" w:customStyle="1" w:styleId="poziom3Znak">
    <w:name w:val="poziom 3 Znak"/>
    <w:basedOn w:val="poziom2Znak"/>
    <w:link w:val="poziom3"/>
    <w:rsid w:val="00DA28AC"/>
    <w:rPr>
      <w:rFonts w:ascii="Arial" w:eastAsiaTheme="minorHAnsi" w:hAnsi="Arial" w:cs="Arial"/>
      <w:b w:val="0"/>
      <w:color w:val="00B05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A28AC"/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A28AC"/>
    <w:rPr>
      <w:color w:val="808080"/>
    </w:rPr>
  </w:style>
  <w:style w:type="paragraph" w:customStyle="1" w:styleId="Styl1">
    <w:name w:val="Styl1"/>
    <w:basedOn w:val="poziom1"/>
    <w:link w:val="Styl1Znak"/>
    <w:qFormat/>
    <w:rsid w:val="006F1479"/>
    <w:rPr>
      <w:sz w:val="30"/>
      <w:szCs w:val="30"/>
    </w:rPr>
  </w:style>
  <w:style w:type="paragraph" w:customStyle="1" w:styleId="Styl2">
    <w:name w:val="Styl2"/>
    <w:basedOn w:val="poziom2"/>
    <w:link w:val="Styl2Znak"/>
    <w:qFormat/>
    <w:rsid w:val="00DA28AC"/>
    <w:rPr>
      <w:sz w:val="23"/>
      <w:szCs w:val="23"/>
    </w:rPr>
  </w:style>
  <w:style w:type="character" w:customStyle="1" w:styleId="Styl1Znak">
    <w:name w:val="Styl1 Znak"/>
    <w:basedOn w:val="poziom1Znak"/>
    <w:link w:val="Styl1"/>
    <w:rsid w:val="00DA28AC"/>
    <w:rPr>
      <w:rFonts w:ascii="Arial" w:eastAsiaTheme="minorHAnsi" w:hAnsi="Arial" w:cs="Arial"/>
      <w:b/>
      <w:color w:val="0070C0"/>
      <w:sz w:val="30"/>
      <w:szCs w:val="30"/>
      <w:lang w:eastAsia="en-US"/>
    </w:rPr>
  </w:style>
  <w:style w:type="paragraph" w:customStyle="1" w:styleId="Styl3">
    <w:name w:val="Styl3"/>
    <w:basedOn w:val="Akapitzlist"/>
    <w:link w:val="Styl3Znak"/>
    <w:qFormat/>
    <w:rsid w:val="00DA28AC"/>
    <w:pPr>
      <w:numPr>
        <w:ilvl w:val="1"/>
        <w:numId w:val="19"/>
      </w:numPr>
      <w:autoSpaceDE w:val="0"/>
      <w:autoSpaceDN w:val="0"/>
      <w:adjustRightInd w:val="0"/>
      <w:spacing w:before="240" w:after="120" w:line="288" w:lineRule="auto"/>
      <w:jc w:val="both"/>
    </w:pPr>
    <w:rPr>
      <w:rFonts w:ascii="Arial" w:hAnsi="Arial"/>
      <w:b/>
      <w:color w:val="0070C0"/>
      <w:sz w:val="23"/>
      <w:szCs w:val="23"/>
    </w:rPr>
  </w:style>
  <w:style w:type="character" w:customStyle="1" w:styleId="Styl2Znak">
    <w:name w:val="Styl2 Znak"/>
    <w:basedOn w:val="poziom2Znak"/>
    <w:link w:val="Styl2"/>
    <w:rsid w:val="00DA28AC"/>
    <w:rPr>
      <w:rFonts w:ascii="Arial" w:eastAsiaTheme="minorHAnsi" w:hAnsi="Arial" w:cs="Arial"/>
      <w:b/>
      <w:color w:val="00B050"/>
      <w:sz w:val="23"/>
      <w:szCs w:val="23"/>
      <w:lang w:eastAsia="en-US"/>
    </w:rPr>
  </w:style>
  <w:style w:type="paragraph" w:customStyle="1" w:styleId="Styl4">
    <w:name w:val="Styl4"/>
    <w:basedOn w:val="poziom2"/>
    <w:link w:val="Styl4Znak"/>
    <w:qFormat/>
    <w:rsid w:val="00DA28AC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A28AC"/>
    <w:rPr>
      <w:rFonts w:cs="Arial"/>
      <w:sz w:val="24"/>
      <w:szCs w:val="24"/>
    </w:rPr>
  </w:style>
  <w:style w:type="character" w:customStyle="1" w:styleId="Styl3Znak">
    <w:name w:val="Styl3 Znak"/>
    <w:basedOn w:val="AkapitzlistZnak"/>
    <w:link w:val="Styl3"/>
    <w:rsid w:val="00DA28AC"/>
    <w:rPr>
      <w:rFonts w:ascii="Arial" w:eastAsiaTheme="minorHAnsi" w:hAnsi="Arial" w:cstheme="minorBidi"/>
      <w:b/>
      <w:color w:val="0070C0"/>
      <w:sz w:val="23"/>
      <w:szCs w:val="23"/>
      <w:lang w:eastAsia="en-US"/>
    </w:rPr>
  </w:style>
  <w:style w:type="paragraph" w:customStyle="1" w:styleId="Styl5">
    <w:name w:val="Styl5"/>
    <w:basedOn w:val="Akapitzlist"/>
    <w:link w:val="Styl5Znak"/>
    <w:qFormat/>
    <w:rsid w:val="002F7449"/>
    <w:pPr>
      <w:numPr>
        <w:numId w:val="22"/>
      </w:numPr>
      <w:spacing w:after="0" w:line="288" w:lineRule="auto"/>
    </w:pPr>
    <w:rPr>
      <w:rFonts w:ascii="Arial" w:hAnsi="Arial" w:cs="Arial"/>
      <w:b/>
      <w:color w:val="00B050"/>
      <w:sz w:val="23"/>
      <w:szCs w:val="23"/>
    </w:rPr>
  </w:style>
  <w:style w:type="character" w:customStyle="1" w:styleId="Styl4Znak">
    <w:name w:val="Styl4 Znak"/>
    <w:basedOn w:val="poziom2Znak"/>
    <w:link w:val="Styl4"/>
    <w:rsid w:val="00DA28AC"/>
    <w:rPr>
      <w:rFonts w:ascii="Arial" w:eastAsiaTheme="minorHAnsi" w:hAnsi="Arial" w:cs="Arial"/>
      <w:b/>
      <w:color w:val="00B050"/>
      <w:lang w:eastAsia="en-US"/>
    </w:rPr>
  </w:style>
  <w:style w:type="character" w:customStyle="1" w:styleId="Styl5Znak">
    <w:name w:val="Styl5 Znak"/>
    <w:basedOn w:val="AkapitzlistZnak"/>
    <w:link w:val="Styl5"/>
    <w:rsid w:val="00DA28AC"/>
    <w:rPr>
      <w:rFonts w:ascii="Arial" w:eastAsiaTheme="minorHAnsi" w:hAnsi="Arial" w:cs="Arial"/>
      <w:b/>
      <w:color w:val="00B050"/>
      <w:sz w:val="23"/>
      <w:szCs w:val="23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3D60"/>
    <w:rPr>
      <w:rFonts w:eastAsiaTheme="majorEastAsia"/>
      <w:b/>
      <w:bCs/>
      <w:color w:val="0070C0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A28AC"/>
    <w:rPr>
      <w:rFonts w:ascii="Arial" w:eastAsiaTheme="majorEastAsia" w:hAnsi="Arial" w:cstheme="majorBidi"/>
      <w:b/>
      <w:bCs/>
      <w:color w:val="00B050"/>
      <w:sz w:val="23"/>
      <w:szCs w:val="22"/>
      <w:lang w:eastAsia="en-US"/>
    </w:rPr>
  </w:style>
  <w:style w:type="paragraph" w:styleId="Poprawka">
    <w:name w:val="Revision"/>
    <w:hidden/>
    <w:uiPriority w:val="99"/>
    <w:semiHidden/>
    <w:rsid w:val="00DA28AC"/>
    <w:rPr>
      <w:rFonts w:ascii="Calibri" w:eastAsiaTheme="minorHAnsi" w:hAnsi="Calibr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3C71-C5A5-4B0A-80FE-44AB7529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5273</Words>
  <Characters>31642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Żuchowski Grzegorz</cp:lastModifiedBy>
  <cp:revision>19</cp:revision>
  <cp:lastPrinted>2019-03-19T08:17:00Z</cp:lastPrinted>
  <dcterms:created xsi:type="dcterms:W3CDTF">2018-07-23T10:15:00Z</dcterms:created>
  <dcterms:modified xsi:type="dcterms:W3CDTF">2019-04-01T10:36:00Z</dcterms:modified>
</cp:coreProperties>
</file>