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2C713F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r w:rsidRPr="002C713F">
        <w:t>Dostępność Plus z podpisem Premiera</w:t>
      </w:r>
    </w:p>
    <w:p w:rsidR="00851E5D" w:rsidRPr="00CA558E" w:rsidRDefault="002C713F" w:rsidP="00F665D5">
      <w:pPr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t>Informacja prasowa, 7 sierpnia</w:t>
      </w:r>
      <w:r w:rsidR="00CA558E" w:rsidRPr="00F665D5">
        <w:rPr>
          <w:rFonts w:eastAsia="Calibri"/>
          <w:sz w:val="24"/>
          <w:lang w:eastAsia="en-US"/>
        </w:rPr>
        <w:t xml:space="preserve"> </w:t>
      </w:r>
      <w:r w:rsidR="00851E5D" w:rsidRPr="00F665D5">
        <w:rPr>
          <w:rFonts w:eastAsia="Calibri"/>
          <w:sz w:val="24"/>
          <w:lang w:eastAsia="en-US"/>
        </w:rPr>
        <w:t>2018</w:t>
      </w:r>
      <w:r w:rsidR="00851E5D" w:rsidRPr="00CA558E">
        <w:rPr>
          <w:rFonts w:eastAsia="Calibri"/>
          <w:lang w:eastAsia="en-US"/>
        </w:rPr>
        <w:t xml:space="preserve"> r.</w:t>
      </w:r>
    </w:p>
    <w:p w:rsidR="002C713F" w:rsidRPr="002C713F" w:rsidRDefault="002C713F" w:rsidP="002C713F">
      <w:pPr>
        <w:jc w:val="left"/>
        <w:rPr>
          <w:rFonts w:eastAsia="Calibri"/>
          <w:b/>
          <w:lang w:eastAsia="en-US"/>
        </w:rPr>
      </w:pPr>
      <w:r w:rsidRPr="002C713F">
        <w:rPr>
          <w:rFonts w:eastAsia="Calibri"/>
          <w:b/>
          <w:lang w:eastAsia="en-US"/>
        </w:rPr>
        <w:t>Premier Mateusz Morawiecki podpisał uchwałę w sprawie programu Dostępność Plus.</w:t>
      </w:r>
      <w:r>
        <w:rPr>
          <w:rFonts w:eastAsia="Calibri"/>
          <w:b/>
          <w:lang w:eastAsia="en-US"/>
        </w:rPr>
        <w:t xml:space="preserve"> </w:t>
      </w:r>
      <w:r w:rsidRPr="002C713F">
        <w:rPr>
          <w:rFonts w:eastAsiaTheme="minorHAnsi" w:cstheme="minorHAnsi"/>
          <w:b/>
          <w:szCs w:val="28"/>
          <w:lang w:eastAsia="en-US"/>
        </w:rPr>
        <w:t>Program został przyjęty przez rząd w połowie lipca. Podpis Premiera oznacza ostatni etap formalności związanych z ustanowienie programu, a tym samym rozpoczęcie etapu jego intensywnej realizacji.</w:t>
      </w:r>
    </w:p>
    <w:p w:rsidR="002C713F" w:rsidRPr="002C713F" w:rsidRDefault="002C713F" w:rsidP="002C713F">
      <w:pPr>
        <w:jc w:val="left"/>
        <w:rPr>
          <w:rFonts w:eastAsiaTheme="minorHAnsi" w:cstheme="minorHAnsi"/>
          <w:b/>
          <w:szCs w:val="28"/>
          <w:lang w:eastAsia="en-US"/>
        </w:rPr>
      </w:pPr>
      <w:r w:rsidRPr="002C713F">
        <w:rPr>
          <w:rFonts w:eastAsiaTheme="minorHAnsi" w:cstheme="minorHAnsi"/>
          <w:szCs w:val="28"/>
          <w:lang w:eastAsia="en-US"/>
        </w:rPr>
        <w:t xml:space="preserve">„To wspólny rządowy program,  Ministerstwo Inwestycji i Rozwoju jest odpowiedzialne za jego koordynację. Mamy już pierwsze przykłady działań na rzecz dostępności, wkrótce ruszamy z szeregiem nowych inicjatyw, o których informowaliśmy już w lipcu”  – </w:t>
      </w:r>
      <w:r w:rsidRPr="002C713F">
        <w:rPr>
          <w:rFonts w:eastAsiaTheme="minorHAnsi" w:cstheme="minorHAnsi"/>
          <w:b/>
          <w:szCs w:val="28"/>
          <w:lang w:eastAsia="en-US"/>
        </w:rPr>
        <w:t>wyjaśnił minister inwestycji i rozwoju Jerzy Kwieciński.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 w:rsidRPr="002C713F">
        <w:rPr>
          <w:rFonts w:eastAsiaTheme="minorHAnsi" w:cstheme="minorHAnsi"/>
          <w:szCs w:val="28"/>
          <w:lang w:eastAsia="en-US"/>
        </w:rPr>
        <w:t xml:space="preserve">Program Dostępność Plus to ważna inicjatywa, stanowiąca odpowiedź na zmiany demograficzne zachodzące w naszym społeczeństwie. Obecnie </w:t>
      </w:r>
      <w:r w:rsidRPr="002C713F">
        <w:rPr>
          <w:rFonts w:eastAsiaTheme="minorHAnsi" w:cstheme="minorHAnsi"/>
          <w:b/>
          <w:szCs w:val="28"/>
          <w:lang w:eastAsia="en-US"/>
        </w:rPr>
        <w:t>około 12 procent Polaków, a więc 5 milionów obywateli</w:t>
      </w:r>
      <w:r w:rsidRPr="002C713F">
        <w:rPr>
          <w:rFonts w:eastAsiaTheme="minorHAnsi" w:cstheme="minorHAnsi"/>
          <w:szCs w:val="28"/>
          <w:lang w:eastAsia="en-US"/>
        </w:rPr>
        <w:t xml:space="preserve">, to osoby z jakimś rodzajem niepełnosprawności. Szacuje się też, że </w:t>
      </w:r>
      <w:r w:rsidRPr="002C713F">
        <w:rPr>
          <w:rFonts w:eastAsiaTheme="minorHAnsi" w:cstheme="minorHAnsi"/>
          <w:b/>
          <w:szCs w:val="28"/>
          <w:lang w:eastAsia="en-US"/>
        </w:rPr>
        <w:t xml:space="preserve">nawet 30 procent społeczeństwa </w:t>
      </w:r>
      <w:r w:rsidRPr="002C713F">
        <w:rPr>
          <w:rFonts w:eastAsiaTheme="minorHAnsi" w:cstheme="minorHAnsi"/>
          <w:szCs w:val="28"/>
          <w:lang w:eastAsia="en-US"/>
        </w:rPr>
        <w:t>może mieć trwałe lub czasowe trudności z poruszaniem się lub przyswajaniem nowych informacji.</w:t>
      </w:r>
    </w:p>
    <w:p w:rsidR="00F665D5" w:rsidRPr="00F665D5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 w:rsidRPr="002C713F">
        <w:rPr>
          <w:rFonts w:eastAsiaTheme="minorHAnsi" w:cstheme="minorHAnsi"/>
          <w:szCs w:val="28"/>
          <w:lang w:eastAsia="en-US"/>
        </w:rPr>
        <w:t xml:space="preserve">"Programu Dostępność Plus koncentruje się na dostosowaniu przestrzeni publicznej, architektury, transportu i produktów do potrzeb wszystkich obywateli. To pierwsza próba całościowego ujęcia tematu dostępności w Polsce" - </w:t>
      </w:r>
      <w:r w:rsidRPr="002C713F">
        <w:rPr>
          <w:rFonts w:eastAsiaTheme="minorHAnsi" w:cstheme="minorHAnsi"/>
          <w:b/>
          <w:szCs w:val="28"/>
          <w:lang w:eastAsia="en-US"/>
        </w:rPr>
        <w:t>podkreślił minister Kwieciński</w:t>
      </w:r>
      <w:r w:rsidRPr="002C713F">
        <w:rPr>
          <w:rFonts w:eastAsiaTheme="minorHAnsi" w:cstheme="minorHAnsi"/>
          <w:szCs w:val="28"/>
          <w:lang w:eastAsia="en-US"/>
        </w:rPr>
        <w:t>.</w:t>
      </w:r>
    </w:p>
    <w:p w:rsidR="00F665D5" w:rsidRPr="00F665D5" w:rsidRDefault="002C713F" w:rsidP="00F665D5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2C713F">
        <w:rPr>
          <w:rFonts w:eastAsiaTheme="minorHAnsi"/>
          <w:lang w:eastAsia="en-US"/>
        </w:rPr>
        <w:t>Przykłady dotychczasowych działań</w:t>
      </w:r>
    </w:p>
    <w:p w:rsidR="002C713F" w:rsidRPr="002C713F" w:rsidRDefault="002C713F" w:rsidP="002C713F">
      <w:pPr>
        <w:jc w:val="left"/>
        <w:rPr>
          <w:rFonts w:eastAsiaTheme="minorHAnsi" w:cstheme="minorHAnsi"/>
          <w:color w:val="000000" w:themeColor="text1"/>
          <w:szCs w:val="28"/>
          <w:lang w:eastAsia="en-US"/>
        </w:rPr>
      </w:pP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 xml:space="preserve">Pierwszy konkurs w Programie Dostępność Plus już trwa. 7 czerwca Ministerstwo Inwestycji i Rozwoju zakończyło nabór wniosków od podmiotów, które chcą </w:t>
      </w:r>
      <w:r w:rsidRPr="002C713F">
        <w:rPr>
          <w:rFonts w:eastAsiaTheme="minorHAnsi" w:cstheme="minorHAnsi"/>
          <w:b/>
          <w:color w:val="000000" w:themeColor="text1"/>
          <w:szCs w:val="28"/>
          <w:lang w:eastAsia="en-US"/>
        </w:rPr>
        <w:t xml:space="preserve">szkolić z dostępności 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 xml:space="preserve">urzędników zajmujących się architekturą, budownictwem i zagospodarowaniem przestrzennym. Zwycięski projekt poznamy </w:t>
      </w:r>
      <w:r w:rsidRPr="002C713F">
        <w:rPr>
          <w:rFonts w:eastAsiaTheme="minorHAnsi" w:cstheme="minorHAnsi"/>
          <w:b/>
          <w:color w:val="000000" w:themeColor="text1"/>
          <w:szCs w:val="28"/>
          <w:lang w:eastAsia="en-US"/>
        </w:rPr>
        <w:t>we wrześniu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>. Szkolenia obejmą około 1500 osób.</w:t>
      </w:r>
    </w:p>
    <w:p w:rsidR="002C713F" w:rsidRPr="002C713F" w:rsidRDefault="002C713F" w:rsidP="002C713F">
      <w:pPr>
        <w:jc w:val="left"/>
        <w:rPr>
          <w:rFonts w:eastAsiaTheme="minorHAnsi" w:cstheme="minorHAnsi"/>
          <w:color w:val="000000" w:themeColor="text1"/>
          <w:szCs w:val="28"/>
          <w:lang w:eastAsia="en-US"/>
        </w:rPr>
      </w:pP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 xml:space="preserve">Na początku sierpnia Prezydent RP podpisał </w:t>
      </w:r>
      <w:r w:rsidRPr="002C713F">
        <w:rPr>
          <w:rFonts w:eastAsiaTheme="minorHAnsi" w:cstheme="minorHAnsi"/>
          <w:b/>
          <w:color w:val="000000" w:themeColor="text1"/>
          <w:szCs w:val="28"/>
          <w:lang w:eastAsia="en-US"/>
        </w:rPr>
        <w:t>specustawę mieszkaniową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 xml:space="preserve">. Zmiany dotyczą także wprowadzenia do prawa budowlanego w szerszym niż dotychczas zakresie </w:t>
      </w:r>
      <w:r w:rsidRPr="002C713F">
        <w:rPr>
          <w:rFonts w:eastAsiaTheme="minorHAnsi" w:cstheme="minorHAnsi"/>
          <w:b/>
          <w:color w:val="000000" w:themeColor="text1"/>
          <w:szCs w:val="28"/>
          <w:lang w:eastAsia="en-US"/>
        </w:rPr>
        <w:t xml:space="preserve">wymogu dostępności. 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>Nowe wznoszone budynki użyteczności publicznej i wielorodzinne budynki mieszkalne będą uwzględniać potrzeby i możliwości osób o szczególnej sytuacji życiowej, takich jak osoby z niepełnosprawnościami, osoby starsze czy rodziny z małymi dziećmi.</w:t>
      </w:r>
    </w:p>
    <w:p w:rsidR="002C713F" w:rsidRPr="002C713F" w:rsidRDefault="002C713F" w:rsidP="002C713F">
      <w:pPr>
        <w:jc w:val="left"/>
        <w:rPr>
          <w:rFonts w:eastAsiaTheme="minorHAnsi" w:cstheme="minorHAnsi"/>
          <w:color w:val="000000" w:themeColor="text1"/>
          <w:szCs w:val="28"/>
          <w:lang w:eastAsia="en-US"/>
        </w:rPr>
      </w:pP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 xml:space="preserve">W lipcu Ministerstwo Cyfryzacji rozpoczęło </w:t>
      </w:r>
      <w:r w:rsidRPr="002C713F">
        <w:rPr>
          <w:rFonts w:eastAsiaTheme="minorHAnsi" w:cstheme="minorHAnsi"/>
          <w:b/>
          <w:color w:val="000000" w:themeColor="text1"/>
          <w:szCs w:val="28"/>
          <w:lang w:eastAsia="en-US"/>
        </w:rPr>
        <w:t xml:space="preserve">konsultacje publiczne ustawy o dostępności stron publicznych 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>i aplikacji mobilnych organów publicznych.</w:t>
      </w:r>
      <w:r>
        <w:rPr>
          <w:rFonts w:eastAsiaTheme="minorHAnsi" w:cstheme="minorHAnsi"/>
          <w:color w:val="000000" w:themeColor="text1"/>
          <w:szCs w:val="28"/>
          <w:lang w:eastAsia="en-US"/>
        </w:rPr>
        <w:t xml:space="preserve"> 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>Ustawa nałoży obowiązek na instytucje publiczne publikowania informacji w sposób dostępny dla osób z niepełnosprawnościami (zwłaszcza dla niewidomych).</w:t>
      </w:r>
    </w:p>
    <w:p w:rsidR="00F665D5" w:rsidRPr="00F665D5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lastRenderedPageBreak/>
        <w:t xml:space="preserve">12 kwietnia Ministerstwo Inwestycji i Rozwoju przyjęło </w:t>
      </w:r>
      <w:r w:rsidRPr="002C713F">
        <w:rPr>
          <w:rFonts w:eastAsiaTheme="minorHAnsi" w:cstheme="minorHAnsi"/>
          <w:b/>
          <w:color w:val="000000" w:themeColor="text1"/>
          <w:szCs w:val="28"/>
          <w:lang w:eastAsia="en-US"/>
        </w:rPr>
        <w:t>standardy dostępności dla funduszy europejskich</w:t>
      </w:r>
      <w:r w:rsidRPr="002C713F">
        <w:rPr>
          <w:rFonts w:eastAsiaTheme="minorHAnsi" w:cstheme="minorHAnsi"/>
          <w:color w:val="000000" w:themeColor="text1"/>
          <w:szCs w:val="28"/>
          <w:lang w:eastAsia="en-US"/>
        </w:rPr>
        <w:t>. Obejmują one wymogi techniczne dla sześciu rodzajów inwestycji finansowanych ze środków unijnych - inwestycji budowlanych, transportowych, systemów IT, aplikacji mobilnych i stron internetowych, projektów szkoleniowych, projektów edukacyjnych, działań promocyjnych. Oznacza to, że inwestycje, które otrzymały dofinansowanie unijne, będą musiały spełniać standardy dostępności.</w:t>
      </w:r>
    </w:p>
    <w:p w:rsidR="00F665D5" w:rsidRPr="00F665D5" w:rsidRDefault="002C713F" w:rsidP="00F665D5">
      <w:pPr>
        <w:pStyle w:val="Nagwek1"/>
        <w:pBdr>
          <w:bottom w:val="single" w:sz="4" w:space="1" w:color="auto"/>
        </w:pBdr>
        <w:rPr>
          <w:rFonts w:eastAsiaTheme="minorHAnsi"/>
          <w:lang w:eastAsia="en-US"/>
        </w:rPr>
      </w:pPr>
      <w:r w:rsidRPr="002C713F">
        <w:rPr>
          <w:rFonts w:eastAsiaTheme="minorHAnsi"/>
          <w:lang w:eastAsia="en-US"/>
        </w:rPr>
        <w:t>Krok po kroku do dostępności. Najbliższe działania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 w:rsidRPr="002C713F">
        <w:rPr>
          <w:rFonts w:eastAsiaTheme="minorHAnsi" w:cstheme="minorHAnsi"/>
          <w:szCs w:val="28"/>
          <w:lang w:eastAsia="en-US"/>
        </w:rPr>
        <w:t>W 2018 i 2019 roku ruszy szereg działań przewidzianych w programie, na przykład: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do końca 2018 roku powstanie </w:t>
      </w:r>
      <w:r w:rsidRPr="002C713F">
        <w:rPr>
          <w:rFonts w:eastAsiaTheme="minorHAnsi" w:cstheme="minorHAnsi"/>
          <w:b/>
          <w:szCs w:val="28"/>
          <w:lang w:eastAsia="en-US"/>
        </w:rPr>
        <w:t>projekt ustawy o dostępności</w:t>
      </w:r>
      <w:r w:rsidRPr="002C713F">
        <w:rPr>
          <w:rFonts w:eastAsiaTheme="minorHAnsi" w:cstheme="minorHAnsi"/>
          <w:szCs w:val="28"/>
          <w:lang w:eastAsia="en-US"/>
        </w:rPr>
        <w:t xml:space="preserve">. Ustawa będzie dotyczyć: organów publicznych, instytucji korzystających ze środków publicznych oraz podmiotów świadczących tzw. usługi powszechne (np. bankowe, ubezpieczeniowe, medialne). Ustawa nałoży na te podmioty obowiązek zapewnienia dostępności świadczonych usług       </w:t>
      </w:r>
      <w:r>
        <w:rPr>
          <w:rFonts w:eastAsiaTheme="minorHAnsi" w:cstheme="minorHAnsi"/>
          <w:szCs w:val="28"/>
          <w:lang w:eastAsia="en-US"/>
        </w:rPr>
        <w:br/>
      </w:r>
      <w:bookmarkStart w:id="0" w:name="_GoBack"/>
      <w:bookmarkEnd w:id="0"/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konkurs </w:t>
      </w:r>
      <w:r w:rsidRPr="002C713F">
        <w:rPr>
          <w:rFonts w:eastAsiaTheme="minorHAnsi" w:cstheme="minorHAnsi"/>
          <w:b/>
          <w:szCs w:val="28"/>
          <w:lang w:eastAsia="en-US"/>
        </w:rPr>
        <w:t>Przestrzeń przyjaznej szkoły</w:t>
      </w:r>
      <w:r w:rsidRPr="002C713F">
        <w:rPr>
          <w:rFonts w:eastAsiaTheme="minorHAnsi" w:cstheme="minorHAnsi"/>
          <w:szCs w:val="28"/>
          <w:lang w:eastAsia="en-US"/>
        </w:rPr>
        <w:t>, w ramach którego 200 szkół dostanie fundusze przystosowanie się do wymogów dostępności, na przykład na likwidację barier architektonicznych (na początek pilotaż dla 50 szkół),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konkurs </w:t>
      </w:r>
      <w:r w:rsidRPr="002C713F">
        <w:rPr>
          <w:rFonts w:eastAsiaTheme="minorHAnsi" w:cstheme="minorHAnsi"/>
          <w:b/>
          <w:szCs w:val="28"/>
          <w:lang w:eastAsia="en-US"/>
        </w:rPr>
        <w:t>Dostępna uczelnia</w:t>
      </w:r>
      <w:r w:rsidRPr="002C713F">
        <w:rPr>
          <w:rFonts w:eastAsiaTheme="minorHAnsi" w:cstheme="minorHAnsi"/>
          <w:szCs w:val="28"/>
          <w:lang w:eastAsia="en-US"/>
        </w:rPr>
        <w:t xml:space="preserve"> – konkurs dla 100 uczelni na usuwanie barier i pomoc studentom z niepełnosprawnościami,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konkurs </w:t>
      </w:r>
      <w:r w:rsidRPr="002C713F">
        <w:rPr>
          <w:rFonts w:eastAsiaTheme="minorHAnsi" w:cstheme="minorHAnsi"/>
          <w:b/>
          <w:szCs w:val="28"/>
          <w:lang w:eastAsia="en-US"/>
        </w:rPr>
        <w:t>Modelowe programy nauczania</w:t>
      </w:r>
      <w:r w:rsidRPr="002C713F">
        <w:rPr>
          <w:rFonts w:eastAsiaTheme="minorHAnsi" w:cstheme="minorHAnsi"/>
          <w:szCs w:val="28"/>
          <w:lang w:eastAsia="en-US"/>
        </w:rPr>
        <w:t xml:space="preserve"> na wybranych kierunkach studiów, który pomoże uczelniom tak zmienić sposób nauczania przyszłych architektów, urbanistów czy inżynierów, by w swojej pracy uwzględniali oni standardy dostępności,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konkurs </w:t>
      </w:r>
      <w:r w:rsidRPr="002C713F">
        <w:rPr>
          <w:rFonts w:eastAsiaTheme="minorHAnsi" w:cstheme="minorHAnsi"/>
          <w:b/>
          <w:szCs w:val="28"/>
          <w:lang w:eastAsia="en-US"/>
        </w:rPr>
        <w:t>Społeczny inkubator dostępności</w:t>
      </w:r>
      <w:r w:rsidRPr="002C713F">
        <w:rPr>
          <w:rFonts w:eastAsiaTheme="minorHAnsi" w:cstheme="minorHAnsi"/>
          <w:szCs w:val="28"/>
          <w:lang w:eastAsia="en-US"/>
        </w:rPr>
        <w:t>, który pozwoli wypracować i w kolejnym kroku upowszechnić nowe, nieznane jeszcze rozwiązania na rzecz dostępności,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program </w:t>
      </w:r>
      <w:proofErr w:type="spellStart"/>
      <w:r w:rsidRPr="002C713F">
        <w:rPr>
          <w:rFonts w:eastAsiaTheme="minorHAnsi" w:cstheme="minorHAnsi"/>
          <w:b/>
          <w:szCs w:val="28"/>
          <w:lang w:eastAsia="en-US"/>
        </w:rPr>
        <w:t>aPSYstent</w:t>
      </w:r>
      <w:proofErr w:type="spellEnd"/>
      <w:r w:rsidRPr="002C713F">
        <w:rPr>
          <w:rFonts w:eastAsiaTheme="minorHAnsi" w:cstheme="minorHAnsi"/>
          <w:szCs w:val="28"/>
          <w:lang w:eastAsia="en-US"/>
        </w:rPr>
        <w:t xml:space="preserve">, z którego finansowane będzie szkolenie i utrzymanie psów przewodników i psów asystujących dla osób niewidomych, a także przygotowanie kadr trenerskich. Program jest potrzebny, bo takich psów jest za mało,       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b/>
          <w:szCs w:val="28"/>
          <w:lang w:eastAsia="en-US"/>
        </w:rPr>
        <w:t>Krajowy Ośrodek Mobilności Osób z Niepełnosprawnościami (KOMON)</w:t>
      </w:r>
      <w:r w:rsidRPr="002C713F">
        <w:rPr>
          <w:rFonts w:eastAsiaTheme="minorHAnsi" w:cstheme="minorHAnsi"/>
          <w:szCs w:val="28"/>
          <w:lang w:eastAsia="en-US"/>
        </w:rPr>
        <w:t xml:space="preserve"> – we współpracy z  Przemysłowym Instytutem Motoryzacji powstanie ośrodek szkolenia i egzaminowania kierowców z niepełnosprawnościami,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proofErr w:type="spellStart"/>
      <w:r w:rsidRPr="002C713F">
        <w:rPr>
          <w:rFonts w:eastAsiaTheme="minorHAnsi" w:cstheme="minorHAnsi"/>
          <w:b/>
          <w:szCs w:val="28"/>
          <w:lang w:eastAsia="en-US"/>
        </w:rPr>
        <w:t>Hackhaton</w:t>
      </w:r>
      <w:proofErr w:type="spellEnd"/>
      <w:r w:rsidRPr="002C713F">
        <w:rPr>
          <w:rFonts w:eastAsiaTheme="minorHAnsi" w:cstheme="minorHAnsi"/>
          <w:szCs w:val="28"/>
          <w:lang w:eastAsia="en-US"/>
        </w:rPr>
        <w:t>, czyli dwudniowy maraton programistów, którego efektem będą prototypy aplikacji wspierających osoby z niepełnosprawnościami,</w:t>
      </w:r>
    </w:p>
    <w:p w:rsidR="002C713F" w:rsidRPr="002C713F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lastRenderedPageBreak/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po wakacjach powstanie </w:t>
      </w:r>
      <w:r w:rsidRPr="002C713F">
        <w:rPr>
          <w:rFonts w:eastAsiaTheme="minorHAnsi" w:cstheme="minorHAnsi"/>
          <w:b/>
          <w:szCs w:val="28"/>
          <w:lang w:eastAsia="en-US"/>
        </w:rPr>
        <w:t>Rada ds. Dostępności</w:t>
      </w:r>
      <w:r w:rsidRPr="002C713F">
        <w:rPr>
          <w:rFonts w:eastAsiaTheme="minorHAnsi" w:cstheme="minorHAnsi"/>
          <w:szCs w:val="28"/>
          <w:lang w:eastAsia="en-US"/>
        </w:rPr>
        <w:t>, w której skład wejdą przedstawiciele organizacji osób niepełnosprawnych oraz wszystkich ministerstw zaangażowanych w program Dostępność Plus,</w:t>
      </w:r>
    </w:p>
    <w:p w:rsidR="00F665D5" w:rsidRPr="00F665D5" w:rsidRDefault="002C713F" w:rsidP="002C713F">
      <w:pPr>
        <w:jc w:val="left"/>
        <w:rPr>
          <w:rFonts w:eastAsiaTheme="minorHAnsi" w:cstheme="minorHAnsi"/>
          <w:szCs w:val="28"/>
          <w:lang w:eastAsia="en-US"/>
        </w:rPr>
      </w:pPr>
      <w:r>
        <w:rPr>
          <w:rFonts w:eastAsiaTheme="minorHAnsi" w:cstheme="minorHAnsi"/>
          <w:szCs w:val="28"/>
          <w:lang w:eastAsia="en-US"/>
        </w:rPr>
        <w:t>•</w:t>
      </w:r>
      <w:r w:rsidRPr="002C713F">
        <w:rPr>
          <w:rFonts w:eastAsiaTheme="minorHAnsi" w:cstheme="minorHAnsi"/>
          <w:szCs w:val="28"/>
          <w:lang w:eastAsia="en-US"/>
        </w:rPr>
        <w:t xml:space="preserve">na zlecenie </w:t>
      </w:r>
      <w:proofErr w:type="spellStart"/>
      <w:r w:rsidRPr="002C713F">
        <w:rPr>
          <w:rFonts w:eastAsiaTheme="minorHAnsi" w:cstheme="minorHAnsi"/>
          <w:szCs w:val="28"/>
          <w:lang w:eastAsia="en-US"/>
        </w:rPr>
        <w:t>MIiR</w:t>
      </w:r>
      <w:proofErr w:type="spellEnd"/>
      <w:r w:rsidRPr="002C713F">
        <w:rPr>
          <w:rFonts w:eastAsiaTheme="minorHAnsi" w:cstheme="minorHAnsi"/>
          <w:szCs w:val="28"/>
          <w:lang w:eastAsia="en-US"/>
        </w:rPr>
        <w:t xml:space="preserve"> przeprowadzone zostanie też </w:t>
      </w:r>
      <w:r w:rsidRPr="002C713F">
        <w:rPr>
          <w:rFonts w:eastAsiaTheme="minorHAnsi" w:cstheme="minorHAnsi"/>
          <w:b/>
          <w:szCs w:val="28"/>
          <w:lang w:eastAsia="en-US"/>
        </w:rPr>
        <w:t>ekspertyza</w:t>
      </w:r>
      <w:r w:rsidRPr="002C713F">
        <w:rPr>
          <w:rFonts w:eastAsiaTheme="minorHAnsi" w:cstheme="minorHAnsi"/>
          <w:szCs w:val="28"/>
          <w:lang w:eastAsia="en-US"/>
        </w:rPr>
        <w:t>, która pokaże jaki jest  stan budynków wielorodzinnych w Polsce oraz czy i jak można wyposażyć je w windy. Odpowie też na pytania o ewentualne koszty.</w:t>
      </w:r>
    </w:p>
    <w:p w:rsidR="00F12644" w:rsidRDefault="00F12644" w:rsidP="00F665D5">
      <w:pPr>
        <w:jc w:val="left"/>
        <w:rPr>
          <w:rFonts w:ascii="Calibri" w:eastAsia="Calibri" w:hAnsi="Calibri" w:cs="Calibri"/>
          <w:sz w:val="24"/>
          <w:lang w:eastAsia="en-US"/>
        </w:rPr>
      </w:pPr>
    </w:p>
    <w:sectPr w:rsidR="00F12644" w:rsidSect="009500AA">
      <w:headerReference w:type="default" r:id="rId9"/>
      <w:footerReference w:type="even" r:id="rId10"/>
      <w:footerReference w:type="default" r:id="rId11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B1" w:rsidRDefault="006968B1">
      <w:r>
        <w:separator/>
      </w:r>
    </w:p>
  </w:endnote>
  <w:endnote w:type="continuationSeparator" w:id="0">
    <w:p w:rsidR="006968B1" w:rsidRDefault="0069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1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B1" w:rsidRDefault="006968B1">
      <w:r>
        <w:separator/>
      </w:r>
    </w:p>
  </w:footnote>
  <w:footnote w:type="continuationSeparator" w:id="0">
    <w:p w:rsidR="006968B1" w:rsidRDefault="0069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3BC55F62" wp14:editId="1DE90DA4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BD14515_"/>
      </v:shape>
    </w:pict>
  </w:numPicBullet>
  <w:numPicBullet w:numPicBulletId="1">
    <w:pict>
      <v:shape id="_x0000_i1033" type="#_x0000_t75" style="width:8.25pt;height:8.25pt" o:bullet="t">
        <v:imagedata r:id="rId2" o:title="BD10268_"/>
      </v:shape>
    </w:pict>
  </w:numPicBullet>
  <w:numPicBullet w:numPicBulletId="2">
    <w:pict>
      <v:shape id="_x0000_i1034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13F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68B1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BC60-D810-46E1-983E-5CA7A259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5002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2018-03-29T08:58:00Z</dcterms:created>
  <dcterms:modified xsi:type="dcterms:W3CDTF">2018-08-07T10:36:00Z</dcterms:modified>
</cp:coreProperties>
</file>