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94A1" w14:textId="4E87246E" w:rsidR="008542F6" w:rsidRPr="00666D85" w:rsidRDefault="008542F6" w:rsidP="52684389">
      <w:pPr>
        <w:tabs>
          <w:tab w:val="left" w:leader="dot" w:pos="4111"/>
          <w:tab w:val="right" w:pos="9070"/>
        </w:tabs>
        <w:spacing w:after="0" w:line="259" w:lineRule="auto"/>
        <w:rPr>
          <w:rFonts w:asciiTheme="minorHAnsi" w:eastAsia="Calibri" w:hAnsiTheme="minorHAnsi" w:cstheme="minorBidi"/>
          <w:color w:val="53565A"/>
          <w:lang w:eastAsia="pl-PL"/>
        </w:rPr>
      </w:pPr>
    </w:p>
    <w:p w14:paraId="591EACA5" w14:textId="22EC537F" w:rsidR="008542F6" w:rsidRPr="00666D85" w:rsidRDefault="008542F6" w:rsidP="008542F6">
      <w:pPr>
        <w:tabs>
          <w:tab w:val="left" w:leader="dot" w:pos="1985"/>
          <w:tab w:val="left" w:leader="dot" w:pos="4111"/>
          <w:tab w:val="right" w:pos="9070"/>
        </w:tabs>
        <w:spacing w:after="0" w:line="259" w:lineRule="auto"/>
        <w:ind w:left="142"/>
        <w:jc w:val="right"/>
        <w:rPr>
          <w:rFonts w:asciiTheme="minorHAnsi" w:eastAsia="Calibri" w:hAnsiTheme="minorHAnsi" w:cstheme="minorBidi"/>
          <w:color w:val="53565A"/>
          <w:lang w:eastAsia="pl-PL"/>
        </w:rPr>
        <w:sectPr w:rsidR="008542F6" w:rsidRPr="00666D85" w:rsidSect="002400FD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720" w:right="720" w:bottom="720" w:left="720" w:header="1134" w:footer="1134" w:gutter="0"/>
          <w:cols w:num="2" w:space="709"/>
          <w:titlePg/>
          <w:docGrid w:linePitch="299"/>
        </w:sectPr>
      </w:pPr>
      <w:r w:rsidRPr="00666D85">
        <w:rPr>
          <w:rFonts w:asciiTheme="minorHAnsi" w:eastAsia="Calibri" w:hAnsiTheme="minorHAnsi" w:cstheme="minorBidi"/>
          <w:color w:val="53565A"/>
          <w:lang w:eastAsia="pl-PL"/>
        </w:rPr>
        <w:t xml:space="preserve">Warszawa, </w:t>
      </w:r>
      <w:r w:rsidR="008D56C3">
        <w:rPr>
          <w:rFonts w:asciiTheme="minorHAnsi" w:eastAsia="Calibri" w:hAnsiTheme="minorHAnsi" w:cstheme="minorBidi"/>
          <w:color w:val="53565A"/>
          <w:lang w:eastAsia="pl-PL"/>
        </w:rPr>
        <w:t xml:space="preserve">8 </w:t>
      </w:r>
      <w:r w:rsidR="00FD3630">
        <w:rPr>
          <w:rFonts w:asciiTheme="minorHAnsi" w:eastAsia="Calibri" w:hAnsiTheme="minorHAnsi" w:cstheme="minorBidi"/>
          <w:color w:val="53565A"/>
          <w:lang w:eastAsia="pl-PL"/>
        </w:rPr>
        <w:t>czerwca 2022 r.</w:t>
      </w:r>
    </w:p>
    <w:p w14:paraId="1CFEE914" w14:textId="3A7C2785" w:rsidR="00EF2E31" w:rsidRPr="009045A5" w:rsidRDefault="00EF2E31" w:rsidP="00EF2E31">
      <w:pPr>
        <w:pStyle w:val="Nagwek1"/>
        <w:spacing w:before="240" w:after="480"/>
        <w:jc w:val="center"/>
        <w:rPr>
          <w:rFonts w:cstheme="minorHAnsi"/>
          <w:bCs w:val="0"/>
          <w:color w:val="3F4145"/>
          <w:szCs w:val="26"/>
        </w:rPr>
      </w:pPr>
      <w:r w:rsidRPr="009045A5">
        <w:rPr>
          <w:rFonts w:eastAsia="Calibri"/>
          <w:color w:val="3F4145"/>
          <w:szCs w:val="26"/>
          <w:lang w:eastAsia="pl-PL"/>
        </w:rPr>
        <w:t xml:space="preserve">Zapytanie ofertowe na </w:t>
      </w:r>
      <w:r w:rsidR="009045A5" w:rsidRPr="009045A5">
        <w:rPr>
          <w:rFonts w:asciiTheme="minorHAnsi" w:eastAsiaTheme="majorEastAsia" w:hAnsiTheme="minorHAnsi" w:cstheme="minorHAnsi"/>
          <w:color w:val="3F4145"/>
          <w:szCs w:val="26"/>
        </w:rPr>
        <w:t xml:space="preserve">świadczenie </w:t>
      </w:r>
      <w:bookmarkStart w:id="1" w:name="_Hlk104808015"/>
      <w:r w:rsidR="009045A5" w:rsidRPr="009045A5">
        <w:rPr>
          <w:rFonts w:asciiTheme="minorHAnsi" w:eastAsiaTheme="majorEastAsia" w:hAnsiTheme="minorHAnsi" w:cstheme="minorHAnsi"/>
          <w:color w:val="3F4145"/>
          <w:szCs w:val="26"/>
        </w:rPr>
        <w:t xml:space="preserve">usługi zakwaterowania, wyżywienia i udostępnienia sali konferencyjnej na spotkanie personelu merytorycznego  </w:t>
      </w:r>
      <w:r w:rsidRPr="009045A5">
        <w:rPr>
          <w:rFonts w:cstheme="minorHAnsi"/>
          <w:bCs w:val="0"/>
          <w:color w:val="3F4145"/>
          <w:szCs w:val="26"/>
        </w:rPr>
        <w:t>projektu „Ośrodka Wsparcia Architektury Dostępnej – kompleksowe usługi w zakresie dostępności architektonicznej dla podmiotów publiczny</w:t>
      </w:r>
      <w:bookmarkEnd w:id="1"/>
      <w:r w:rsidRPr="009045A5">
        <w:rPr>
          <w:rFonts w:cstheme="minorHAnsi"/>
          <w:bCs w:val="0"/>
          <w:color w:val="3F4145"/>
          <w:szCs w:val="26"/>
        </w:rPr>
        <w:t xml:space="preserve">ch”. </w:t>
      </w:r>
    </w:p>
    <w:p w14:paraId="7A40739D" w14:textId="39871CF7" w:rsidR="00EF2E31" w:rsidRPr="009045A5" w:rsidRDefault="00EF2E31" w:rsidP="00D34B16">
      <w:pPr>
        <w:pStyle w:val="Nagwek1"/>
        <w:spacing w:before="240" w:after="480" w:line="30" w:lineRule="atLeast"/>
        <w:jc w:val="center"/>
        <w:rPr>
          <w:rFonts w:cstheme="minorHAnsi"/>
          <w:bCs w:val="0"/>
          <w:color w:val="3F4145"/>
          <w:szCs w:val="26"/>
        </w:rPr>
      </w:pPr>
      <w:r w:rsidRPr="009045A5">
        <w:rPr>
          <w:rFonts w:cstheme="minorHAnsi"/>
          <w:bCs w:val="0"/>
          <w:color w:val="3F4145"/>
          <w:szCs w:val="26"/>
        </w:rPr>
        <w:t xml:space="preserve">Lokalizacja spotkania – </w:t>
      </w:r>
      <w:r w:rsidR="009045A5">
        <w:rPr>
          <w:rFonts w:cstheme="minorHAnsi"/>
          <w:bCs w:val="0"/>
          <w:color w:val="3F4145"/>
          <w:szCs w:val="26"/>
        </w:rPr>
        <w:t>Gdynia</w:t>
      </w:r>
    </w:p>
    <w:p w14:paraId="793AF231" w14:textId="400C39EB" w:rsidR="008542F6" w:rsidRPr="00C80673" w:rsidRDefault="008542F6" w:rsidP="00B37686">
      <w:pPr>
        <w:pStyle w:val="Nagwek2"/>
      </w:pPr>
      <w:r w:rsidRPr="00C80673">
        <w:t>Nazwa i adres Zamawiającego:</w:t>
      </w:r>
    </w:p>
    <w:p w14:paraId="656A2AD9" w14:textId="040BAE59" w:rsidR="008542F6" w:rsidRPr="00C80673" w:rsidRDefault="008542F6" w:rsidP="00D34B16">
      <w:pPr>
        <w:spacing w:before="120" w:after="120" w:line="30" w:lineRule="atLeast"/>
        <w:rPr>
          <w:rFonts w:asciiTheme="minorHAnsi" w:eastAsia="Calibri" w:hAnsiTheme="minorHAnsi" w:cstheme="minorHAnsi"/>
          <w:color w:val="5356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65A"/>
          <w:sz w:val="24"/>
          <w:szCs w:val="24"/>
          <w:lang w:eastAsia="pl-PL"/>
        </w:rPr>
        <w:t>Państwowy Fundusz Rehabilitacji Osób Niepełnosprawnych (PFRON)</w:t>
      </w:r>
      <w:r w:rsidR="009045A5" w:rsidRPr="00C80673">
        <w:rPr>
          <w:rFonts w:asciiTheme="minorHAnsi" w:eastAsia="Calibri" w:hAnsiTheme="minorHAnsi" w:cstheme="minorHAnsi"/>
          <w:color w:val="53565A"/>
          <w:sz w:val="24"/>
          <w:szCs w:val="24"/>
          <w:lang w:eastAsia="pl-PL"/>
        </w:rPr>
        <w:t xml:space="preserve">, </w:t>
      </w:r>
      <w:r w:rsidRPr="00C80673">
        <w:rPr>
          <w:rFonts w:asciiTheme="minorHAnsi" w:eastAsia="Calibri" w:hAnsiTheme="minorHAnsi" w:cstheme="minorHAnsi"/>
          <w:color w:val="53565A"/>
          <w:sz w:val="24"/>
          <w:szCs w:val="24"/>
          <w:lang w:eastAsia="pl-PL"/>
        </w:rPr>
        <w:t>al. Jana Pawła II nr 13, 00-828 Warszawa.</w:t>
      </w:r>
    </w:p>
    <w:p w14:paraId="34FABA26" w14:textId="2D562F2F" w:rsidR="008542F6" w:rsidRPr="00C80673" w:rsidRDefault="008542F6" w:rsidP="00B37686">
      <w:pPr>
        <w:pStyle w:val="Nagwek2"/>
      </w:pPr>
      <w:r w:rsidRPr="00C80673">
        <w:t>Opis przedmiotu zamówienia:</w:t>
      </w:r>
    </w:p>
    <w:p w14:paraId="467A2C4A" w14:textId="77777777" w:rsidR="009045A5" w:rsidRPr="00C80673" w:rsidRDefault="009045A5" w:rsidP="00D34B16">
      <w:pPr>
        <w:spacing w:after="0" w:line="30" w:lineRule="atLeast"/>
        <w:rPr>
          <w:rFonts w:cs="Calibri"/>
          <w:color w:val="3F4145"/>
          <w:sz w:val="24"/>
          <w:szCs w:val="24"/>
          <w:lang w:eastAsia="pl-PL"/>
        </w:rPr>
      </w:pPr>
      <w:r w:rsidRPr="00C80673">
        <w:rPr>
          <w:rFonts w:cs="Calibri"/>
          <w:color w:val="3F4145"/>
          <w:sz w:val="24"/>
          <w:szCs w:val="24"/>
          <w:lang w:eastAsia="pl-PL"/>
        </w:rPr>
        <w:t>Przedmiotem zamówienia jest świadczenie usług w zakresie:</w:t>
      </w:r>
    </w:p>
    <w:p w14:paraId="5801DFAF" w14:textId="0699F353" w:rsidR="009045A5" w:rsidRPr="00C80673" w:rsidRDefault="00250914" w:rsidP="00B57DE7">
      <w:pPr>
        <w:autoSpaceDE w:val="0"/>
        <w:autoSpaceDN w:val="0"/>
        <w:spacing w:after="160" w:line="30" w:lineRule="atLeast"/>
        <w:ind w:left="426" w:hanging="426"/>
        <w:contextualSpacing/>
        <w:rPr>
          <w:rFonts w:eastAsia="Calibri" w:cs="Calibri"/>
          <w:color w:val="3F4145"/>
          <w:sz w:val="24"/>
          <w:szCs w:val="24"/>
        </w:rPr>
      </w:pPr>
      <w:r>
        <w:rPr>
          <w:rFonts w:eastAsia="Calibri" w:cs="Calibri"/>
          <w:color w:val="3F4145"/>
          <w:sz w:val="24"/>
          <w:szCs w:val="24"/>
        </w:rPr>
        <w:t xml:space="preserve">2.1. </w:t>
      </w:r>
      <w:r w:rsidR="009045A5" w:rsidRPr="00C80673">
        <w:rPr>
          <w:rFonts w:eastAsia="Calibri" w:cs="Calibri"/>
          <w:color w:val="3F4145"/>
          <w:sz w:val="24"/>
          <w:szCs w:val="24"/>
        </w:rPr>
        <w:t>Noclegi ze śniadaniem (w terminie 24.07-26.07) – 2 noclegi dla 1</w:t>
      </w:r>
      <w:r w:rsidR="00D34B16" w:rsidRPr="00C80673">
        <w:rPr>
          <w:rFonts w:eastAsia="Calibri" w:cs="Calibri"/>
          <w:color w:val="3F4145"/>
          <w:sz w:val="24"/>
          <w:szCs w:val="24"/>
        </w:rPr>
        <w:t>2</w:t>
      </w:r>
      <w:r w:rsidR="009045A5" w:rsidRPr="00C80673">
        <w:rPr>
          <w:rFonts w:eastAsia="Calibri" w:cs="Calibri"/>
          <w:color w:val="3F4145"/>
          <w:sz w:val="24"/>
          <w:szCs w:val="24"/>
        </w:rPr>
        <w:t xml:space="preserve"> osób w miejscu noclegowym o standardzie maksymalnie hotelu 3* wraz ze śniadaniem, pokoje 2-osobowe</w:t>
      </w:r>
      <w:r w:rsidR="00D34B16" w:rsidRPr="00C80673">
        <w:rPr>
          <w:rFonts w:eastAsia="Calibri" w:cs="Calibri"/>
          <w:color w:val="3F4145"/>
          <w:sz w:val="24"/>
          <w:szCs w:val="24"/>
        </w:rPr>
        <w:t xml:space="preserve"> do pojedynczego wykorzystania lub</w:t>
      </w:r>
      <w:r w:rsidR="009045A5" w:rsidRPr="00C80673">
        <w:rPr>
          <w:rFonts w:eastAsia="Calibri" w:cs="Calibri"/>
          <w:color w:val="3F4145"/>
          <w:sz w:val="24"/>
          <w:szCs w:val="24"/>
        </w:rPr>
        <w:t xml:space="preserve"> 1-osobowe z łazienkami. Hotel </w:t>
      </w:r>
      <w:r w:rsidR="00E207A0">
        <w:rPr>
          <w:rFonts w:eastAsia="Calibri" w:cs="Calibri"/>
          <w:color w:val="3F4145"/>
          <w:sz w:val="24"/>
          <w:szCs w:val="24"/>
        </w:rPr>
        <w:t xml:space="preserve">musi </w:t>
      </w:r>
      <w:r w:rsidR="009045A5" w:rsidRPr="00C80673">
        <w:rPr>
          <w:rFonts w:eastAsia="Calibri" w:cs="Calibri"/>
          <w:color w:val="3F4145"/>
          <w:sz w:val="24"/>
          <w:szCs w:val="24"/>
        </w:rPr>
        <w:t>zapewnić minimum dwa pokoje dostosowane do potrzeb osób z niepełnosprawnością.</w:t>
      </w:r>
    </w:p>
    <w:p w14:paraId="5AEF1D61" w14:textId="7B692D36" w:rsidR="009045A5" w:rsidRPr="00C80673" w:rsidRDefault="00250914" w:rsidP="00B57DE7">
      <w:pPr>
        <w:autoSpaceDE w:val="0"/>
        <w:autoSpaceDN w:val="0"/>
        <w:spacing w:after="160" w:line="30" w:lineRule="atLeast"/>
        <w:ind w:left="426" w:hanging="426"/>
        <w:contextualSpacing/>
        <w:rPr>
          <w:rFonts w:eastAsia="Calibri" w:cs="Calibri"/>
          <w:color w:val="3F4145"/>
          <w:sz w:val="24"/>
          <w:szCs w:val="24"/>
        </w:rPr>
      </w:pPr>
      <w:r>
        <w:rPr>
          <w:rFonts w:eastAsia="Calibri" w:cs="Calibri"/>
          <w:color w:val="3F4145"/>
          <w:sz w:val="24"/>
          <w:szCs w:val="24"/>
        </w:rPr>
        <w:t>2.2.</w:t>
      </w:r>
      <w:r w:rsidR="001F45BA">
        <w:rPr>
          <w:rFonts w:eastAsia="Calibri" w:cs="Calibri"/>
          <w:color w:val="3F4145"/>
          <w:sz w:val="24"/>
          <w:szCs w:val="24"/>
        </w:rPr>
        <w:t xml:space="preserve"> </w:t>
      </w:r>
      <w:r w:rsidR="009045A5" w:rsidRPr="00C80673">
        <w:rPr>
          <w:rFonts w:eastAsia="Calibri" w:cs="Calibri"/>
          <w:color w:val="3F4145"/>
          <w:sz w:val="24"/>
          <w:szCs w:val="24"/>
        </w:rPr>
        <w:t xml:space="preserve">Wynajem sali konferencyjnej 6h dziennie przez dwa dni z miejscami siedzącymi i stołem dla min. 20 osób w układzie U; sala powinna być klimatyzowana, posiadać szybkie łącze internetowe, rzutnik i ekran lub duży monitor z podłączeniem do komputera; </w:t>
      </w:r>
    </w:p>
    <w:p w14:paraId="22470628" w14:textId="3578BC57" w:rsidR="009045A5" w:rsidRPr="00C80673" w:rsidRDefault="00250914" w:rsidP="00B57DE7">
      <w:pPr>
        <w:autoSpaceDE w:val="0"/>
        <w:autoSpaceDN w:val="0"/>
        <w:spacing w:after="160" w:line="30" w:lineRule="atLeast"/>
        <w:ind w:left="426" w:hanging="426"/>
        <w:contextualSpacing/>
        <w:rPr>
          <w:rFonts w:eastAsia="Calibri" w:cs="Calibri"/>
          <w:color w:val="3F4145"/>
          <w:sz w:val="24"/>
          <w:szCs w:val="24"/>
        </w:rPr>
      </w:pPr>
      <w:r>
        <w:rPr>
          <w:rFonts w:eastAsia="Calibri" w:cs="Calibri"/>
          <w:color w:val="3F4145"/>
          <w:sz w:val="24"/>
          <w:szCs w:val="24"/>
        </w:rPr>
        <w:t xml:space="preserve">2.3. </w:t>
      </w:r>
      <w:r w:rsidR="009045A5" w:rsidRPr="00C80673">
        <w:rPr>
          <w:rFonts w:eastAsia="Calibri" w:cs="Calibri"/>
          <w:color w:val="3F4145"/>
          <w:sz w:val="24"/>
          <w:szCs w:val="24"/>
        </w:rPr>
        <w:t>Catering dla 12 osób z uwzględnieniem diet wegetariańskich obejmujący:</w:t>
      </w:r>
    </w:p>
    <w:p w14:paraId="19C3DFEF" w14:textId="7CDE83DE" w:rsidR="009045A5" w:rsidRPr="00C80673" w:rsidRDefault="009045A5" w:rsidP="00BD62E7">
      <w:pPr>
        <w:numPr>
          <w:ilvl w:val="0"/>
          <w:numId w:val="6"/>
        </w:numPr>
        <w:autoSpaceDE w:val="0"/>
        <w:autoSpaceDN w:val="0"/>
        <w:spacing w:after="160" w:line="30" w:lineRule="atLeast"/>
        <w:ind w:left="709" w:hanging="426"/>
        <w:contextualSpacing/>
        <w:rPr>
          <w:rFonts w:eastAsia="Calibri" w:cs="Calibri"/>
          <w:color w:val="3F4145"/>
          <w:sz w:val="24"/>
          <w:szCs w:val="24"/>
        </w:rPr>
      </w:pPr>
      <w:r w:rsidRPr="00C80673">
        <w:rPr>
          <w:rFonts w:eastAsia="Calibri" w:cs="Calibri"/>
          <w:color w:val="3F4145"/>
          <w:sz w:val="24"/>
          <w:szCs w:val="24"/>
        </w:rPr>
        <w:t>1 lunch – obejmuje przynajmniej dwa dania (zupa i drugie danie) oraz napój, najlepiej w formie szwedzkiego stołu</w:t>
      </w:r>
      <w:r w:rsidR="00C9439C">
        <w:rPr>
          <w:rFonts w:eastAsia="Calibri" w:cs="Calibri"/>
          <w:color w:val="3F4145"/>
          <w:sz w:val="24"/>
          <w:szCs w:val="24"/>
        </w:rPr>
        <w:t>,</w:t>
      </w:r>
    </w:p>
    <w:p w14:paraId="0A729E88" w14:textId="7CA2AF16" w:rsidR="009045A5" w:rsidRPr="00C80673" w:rsidRDefault="009045A5" w:rsidP="00BD62E7">
      <w:pPr>
        <w:numPr>
          <w:ilvl w:val="0"/>
          <w:numId w:val="6"/>
        </w:numPr>
        <w:autoSpaceDE w:val="0"/>
        <w:autoSpaceDN w:val="0"/>
        <w:spacing w:after="160" w:line="30" w:lineRule="atLeast"/>
        <w:ind w:left="709" w:hanging="426"/>
        <w:contextualSpacing/>
        <w:rPr>
          <w:rFonts w:eastAsia="Calibri" w:cs="Calibri"/>
          <w:color w:val="3F4145"/>
          <w:sz w:val="24"/>
          <w:szCs w:val="24"/>
        </w:rPr>
      </w:pPr>
      <w:r w:rsidRPr="00C80673">
        <w:rPr>
          <w:rFonts w:eastAsia="Calibri" w:cs="Calibri"/>
          <w:color w:val="3F4145"/>
          <w:sz w:val="24"/>
          <w:szCs w:val="24"/>
        </w:rPr>
        <w:t xml:space="preserve">2 przerwy kawowe </w:t>
      </w:r>
      <w:r w:rsidRPr="00C80673">
        <w:rPr>
          <w:rFonts w:eastAsia="Calibri" w:cs="Calibri"/>
          <w:color w:val="3F4145"/>
          <w:sz w:val="24"/>
          <w:szCs w:val="24"/>
        </w:rPr>
        <w:softHyphen/>
        <w:t>– obejmują przynajmniej: kawę, herbatę, wodę, mleko, cukier, cytryna, drobne słone lub słodkie przekąski typu paluszki lub kruche ciastka lub owoce</w:t>
      </w:r>
      <w:r w:rsidR="00C9439C">
        <w:rPr>
          <w:rFonts w:eastAsia="Calibri" w:cs="Calibri"/>
          <w:color w:val="3F4145"/>
          <w:sz w:val="24"/>
          <w:szCs w:val="24"/>
        </w:rPr>
        <w:t>,</w:t>
      </w:r>
      <w:r w:rsidRPr="00C80673">
        <w:rPr>
          <w:rFonts w:eastAsia="Calibri" w:cs="Calibri"/>
          <w:color w:val="3F4145"/>
          <w:sz w:val="24"/>
          <w:szCs w:val="24"/>
        </w:rPr>
        <w:t>.</w:t>
      </w:r>
    </w:p>
    <w:p w14:paraId="26813854" w14:textId="32E2B92F" w:rsidR="00E8315C" w:rsidRPr="00C80673" w:rsidRDefault="00E8315C" w:rsidP="00BD62E7">
      <w:pPr>
        <w:numPr>
          <w:ilvl w:val="0"/>
          <w:numId w:val="6"/>
        </w:numPr>
        <w:autoSpaceDE w:val="0"/>
        <w:autoSpaceDN w:val="0"/>
        <w:spacing w:before="240" w:after="240" w:line="30" w:lineRule="atLeast"/>
        <w:ind w:left="709" w:hanging="426"/>
        <w:contextualSpacing/>
        <w:rPr>
          <w:rFonts w:eastAsia="Calibri" w:cs="Calibri"/>
          <w:color w:val="3F4145"/>
          <w:sz w:val="24"/>
          <w:szCs w:val="24"/>
        </w:rPr>
      </w:pPr>
      <w:r w:rsidRPr="00C80673">
        <w:rPr>
          <w:rFonts w:eastAsia="Calibri" w:cs="Calibri"/>
          <w:color w:val="3F4145"/>
          <w:sz w:val="24"/>
          <w:szCs w:val="24"/>
        </w:rPr>
        <w:t>2</w:t>
      </w:r>
      <w:r w:rsidR="009045A5" w:rsidRPr="00C80673">
        <w:rPr>
          <w:rFonts w:eastAsia="Calibri" w:cs="Calibri"/>
          <w:color w:val="3F4145"/>
          <w:sz w:val="24"/>
          <w:szCs w:val="24"/>
        </w:rPr>
        <w:t xml:space="preserve"> kolacj</w:t>
      </w:r>
      <w:r w:rsidRPr="00C80673">
        <w:rPr>
          <w:rFonts w:eastAsia="Calibri" w:cs="Calibri"/>
          <w:color w:val="3F4145"/>
          <w:sz w:val="24"/>
          <w:szCs w:val="24"/>
        </w:rPr>
        <w:t>e</w:t>
      </w:r>
      <w:r w:rsidR="009045A5" w:rsidRPr="00C80673">
        <w:rPr>
          <w:rFonts w:eastAsia="Calibri" w:cs="Calibri"/>
          <w:color w:val="3F4145"/>
          <w:sz w:val="24"/>
          <w:szCs w:val="24"/>
        </w:rPr>
        <w:t xml:space="preserve"> – obejmuje przynajmniej dwa dania (zupa i drugie danie) oraz napój, najlepiej w formie szwedzkiego stołu.</w:t>
      </w:r>
    </w:p>
    <w:p w14:paraId="0B14DA91" w14:textId="4B63C0B3" w:rsidR="005738A4" w:rsidRPr="00C80673" w:rsidRDefault="005738A4" w:rsidP="001F45BA">
      <w:pPr>
        <w:spacing w:before="240" w:after="0" w:line="30" w:lineRule="atLeast"/>
        <w:jc w:val="both"/>
        <w:rPr>
          <w:rFonts w:cs="Calibri"/>
          <w:sz w:val="24"/>
          <w:szCs w:val="24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Kody określone we wspólnym języku zamówień (CPV):</w:t>
      </w:r>
      <w:r w:rsidRPr="00C80673">
        <w:rPr>
          <w:rFonts w:cs="Calibri"/>
          <w:sz w:val="24"/>
          <w:szCs w:val="24"/>
        </w:rPr>
        <w:t xml:space="preserve"> </w:t>
      </w:r>
    </w:p>
    <w:p w14:paraId="12383382" w14:textId="3F30F89D" w:rsidR="005738A4" w:rsidRPr="00C80673" w:rsidRDefault="005738A4" w:rsidP="001F45BA">
      <w:pPr>
        <w:spacing w:after="0" w:line="30" w:lineRule="atLeast"/>
        <w:jc w:val="both"/>
        <w:rPr>
          <w:color w:val="53565A"/>
          <w:sz w:val="24"/>
          <w:szCs w:val="24"/>
        </w:rPr>
      </w:pPr>
      <w:r w:rsidRPr="00C80673">
        <w:rPr>
          <w:color w:val="53565A"/>
          <w:sz w:val="24"/>
          <w:szCs w:val="24"/>
        </w:rPr>
        <w:t>55110000-4 – Hotelarskie usługi noclegowe</w:t>
      </w:r>
    </w:p>
    <w:p w14:paraId="6E224B0B" w14:textId="7F75DB53" w:rsidR="005738A4" w:rsidRPr="00C80673" w:rsidRDefault="005738A4" w:rsidP="001F45BA">
      <w:pPr>
        <w:spacing w:after="0" w:line="30" w:lineRule="atLeast"/>
        <w:jc w:val="both"/>
        <w:rPr>
          <w:color w:val="53565A"/>
          <w:sz w:val="24"/>
          <w:szCs w:val="24"/>
        </w:rPr>
      </w:pPr>
      <w:r w:rsidRPr="00C80673">
        <w:rPr>
          <w:color w:val="53565A"/>
          <w:sz w:val="24"/>
          <w:szCs w:val="24"/>
        </w:rPr>
        <w:t xml:space="preserve">55120000-7 – </w:t>
      </w:r>
      <w:r w:rsidR="00E8315C" w:rsidRPr="00C80673">
        <w:rPr>
          <w:color w:val="53565A"/>
          <w:sz w:val="24"/>
          <w:szCs w:val="24"/>
        </w:rPr>
        <w:t>U</w:t>
      </w:r>
      <w:r w:rsidRPr="00C80673">
        <w:rPr>
          <w:color w:val="53565A"/>
          <w:sz w:val="24"/>
          <w:szCs w:val="24"/>
        </w:rPr>
        <w:t>sługi hotelarskie w zakresie spotkań i konferencji</w:t>
      </w:r>
    </w:p>
    <w:p w14:paraId="60A9AECD" w14:textId="41EB912F" w:rsidR="005738A4" w:rsidRPr="00C80673" w:rsidRDefault="005738A4" w:rsidP="001F45BA">
      <w:pPr>
        <w:spacing w:after="0" w:line="30" w:lineRule="atLeast"/>
        <w:jc w:val="both"/>
        <w:rPr>
          <w:color w:val="53565A"/>
          <w:sz w:val="24"/>
          <w:szCs w:val="24"/>
        </w:rPr>
      </w:pPr>
      <w:r w:rsidRPr="00C80673">
        <w:rPr>
          <w:color w:val="53565A"/>
          <w:sz w:val="24"/>
          <w:szCs w:val="24"/>
        </w:rPr>
        <w:t>55130000-0 – Inne usługi hotelarskie</w:t>
      </w:r>
    </w:p>
    <w:p w14:paraId="291452BF" w14:textId="0F59E0D2" w:rsidR="008542F6" w:rsidRPr="00C80673" w:rsidRDefault="008542F6" w:rsidP="00B37686">
      <w:pPr>
        <w:pStyle w:val="Nagwek2"/>
      </w:pPr>
      <w:r w:rsidRPr="00C80673">
        <w:t>Opis kryteriów:</w:t>
      </w:r>
    </w:p>
    <w:p w14:paraId="0BB743E7" w14:textId="31670490" w:rsidR="008542F6" w:rsidRPr="00C80673" w:rsidRDefault="001F45BA" w:rsidP="001F45BA">
      <w:pPr>
        <w:spacing w:before="120" w:after="120" w:line="30" w:lineRule="atLeast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eastAsia="Calibri" w:cs="Calibri"/>
          <w:color w:val="53555A"/>
          <w:sz w:val="24"/>
          <w:szCs w:val="24"/>
          <w:lang w:eastAsia="pl-PL"/>
        </w:rPr>
        <w:t xml:space="preserve">3.1. 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>Oferty niekompletne lub złożone po terminie nie będą rozpatrywane.</w:t>
      </w:r>
    </w:p>
    <w:p w14:paraId="10B4B895" w14:textId="2FE22144" w:rsidR="008542F6" w:rsidRPr="00C80673" w:rsidRDefault="001F45BA" w:rsidP="001F45BA">
      <w:pPr>
        <w:spacing w:before="120" w:after="120" w:line="30" w:lineRule="atLeast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eastAsia="Calibri" w:cs="Calibri"/>
          <w:color w:val="53555A"/>
          <w:sz w:val="24"/>
          <w:szCs w:val="24"/>
          <w:lang w:eastAsia="pl-PL"/>
        </w:rPr>
        <w:t xml:space="preserve">3.2. 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Za najkorzystniejszą zostanie uznana Oferta nie odrzucona, która uzyska największą </w:t>
      </w:r>
      <w:r w:rsidR="00E8315C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liczbę 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>punktów.</w:t>
      </w:r>
    </w:p>
    <w:p w14:paraId="0019E06F" w14:textId="3F285BBA" w:rsidR="008542F6" w:rsidRPr="00C80673" w:rsidRDefault="001F45BA" w:rsidP="001F45BA">
      <w:pPr>
        <w:spacing w:before="120" w:after="120" w:line="30" w:lineRule="atLeast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3.3. </w:t>
      </w:r>
      <w:r w:rsidR="008542F6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Zamawiający oceni Oferty</w:t>
      </w:r>
      <w:r w:rsidR="00E8315C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,</w:t>
      </w:r>
      <w:r w:rsidR="008542F6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 przyznając punkty w ramach kryteriów oceny ofert, przyjmując zasadę, że 1% = 1 punkt i uwzględniając następujące kryteria:</w:t>
      </w:r>
    </w:p>
    <w:p w14:paraId="7BC3AD8E" w14:textId="06BA438F" w:rsidR="008542F6" w:rsidRPr="00C80673" w:rsidRDefault="008542F6" w:rsidP="00D34B16">
      <w:pPr>
        <w:keepNext/>
        <w:keepLines/>
        <w:spacing w:before="120" w:after="120" w:line="30" w:lineRule="atLeast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lastRenderedPageBreak/>
        <w:t xml:space="preserve">Kryterium </w:t>
      </w:r>
      <w:r w:rsidR="00E8315C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–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 Cena brutto „C” –  waga </w:t>
      </w:r>
      <w:r w:rsidR="008C6A59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10</w:t>
      </w:r>
      <w:r w:rsidR="00EF2E31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0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% (</w:t>
      </w:r>
      <w:r w:rsidR="008C6A59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10</w:t>
      </w:r>
      <w:r w:rsidR="00EF2E31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0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% = </w:t>
      </w:r>
      <w:r w:rsidR="008C6A59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10</w:t>
      </w:r>
      <w:r w:rsidR="00EF2E31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0 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pkt).</w:t>
      </w:r>
    </w:p>
    <w:p w14:paraId="1CE61960" w14:textId="0B3EB083" w:rsidR="008542F6" w:rsidRPr="00C80673" w:rsidRDefault="008542F6" w:rsidP="00D34B16">
      <w:pPr>
        <w:suppressAutoHyphens/>
        <w:spacing w:before="120" w:after="120" w:line="30" w:lineRule="atLeast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Maksymalną liczbę punktów w tym kryterium (</w:t>
      </w:r>
      <w:r w:rsidR="008C6A59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10</w:t>
      </w:r>
      <w:r w:rsidR="00EF2E31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0 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pkt) otrzyma oferta Wykonawcy, który zaproponuje najniższą cenę brutto za wykonanie całości przedmiotu zamówienia. Natomiast pozostali Wykonawcy otrzymają odpowiednio mniejszą liczbę punktów obliczoną zgodnie z poniższym wzorem:</w:t>
      </w:r>
    </w:p>
    <w:p w14:paraId="426831A5" w14:textId="07DCCAFB" w:rsidR="008542F6" w:rsidRPr="00C80673" w:rsidRDefault="008542F6" w:rsidP="00D34B16">
      <w:pPr>
        <w:suppressAutoHyphens/>
        <w:spacing w:before="120" w:after="120" w:line="30" w:lineRule="atLeast"/>
        <w:ind w:left="35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m:oMath>
        <m:r>
          <m:rPr>
            <m:sty m:val="p"/>
          </m:rPr>
          <w:rPr>
            <w:rFonts w:ascii="Cambria Math" w:eastAsia="Calibri" w:hAnsi="Cambria Math" w:cstheme="minorHAnsi"/>
            <w:color w:val="53555A"/>
            <w:sz w:val="24"/>
            <w:szCs w:val="24"/>
            <w:lang w:eastAsia="pl-PL"/>
          </w:rPr>
          <m:t>C=</m:t>
        </m:r>
        <m:f>
          <m:fPr>
            <m:ctrlPr>
              <w:rPr>
                <w:rFonts w:ascii="Cambria Math" w:eastAsia="Calibri" w:hAnsi="Cambria Math" w:cstheme="minorHAnsi"/>
                <w:iCs/>
                <w:color w:val="53555A"/>
                <w:sz w:val="24"/>
                <w:szCs w:val="24"/>
                <w:lang w:eastAsia="pl-PL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inorHAnsi"/>
                    <w:iCs/>
                    <w:color w:val="53555A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color w:val="53555A"/>
                    <w:sz w:val="24"/>
                    <w:szCs w:val="24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color w:val="53555A"/>
                    <w:sz w:val="24"/>
                    <w:szCs w:val="24"/>
                    <w:lang w:eastAsia="pl-PL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theme="minorHAnsi"/>
                    <w:iCs/>
                    <w:color w:val="53555A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color w:val="53555A"/>
                    <w:sz w:val="24"/>
                    <w:szCs w:val="24"/>
                    <w:lang w:eastAsia="pl-PL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theme="minorHAnsi"/>
                    <w:color w:val="53555A"/>
                    <w:sz w:val="24"/>
                    <w:szCs w:val="24"/>
                    <w:lang w:eastAsia="pl-PL"/>
                  </w:rPr>
                  <m:t>o</m:t>
                </m:r>
              </m:sub>
            </m:sSub>
          </m:den>
        </m:f>
        <m:r>
          <m:rPr>
            <m:sty m:val="p"/>
          </m:rPr>
          <w:rPr>
            <w:rFonts w:ascii="Cambria Math" w:eastAsia="Calibri" w:hAnsi="Cambria Math" w:cstheme="minorHAnsi"/>
            <w:color w:val="53555A"/>
            <w:sz w:val="24"/>
            <w:szCs w:val="24"/>
            <w:lang w:eastAsia="pl-PL"/>
          </w:rPr>
          <m:t>x 100 pkt</m:t>
        </m:r>
      </m:oMath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,</w:t>
      </w:r>
    </w:p>
    <w:p w14:paraId="32456281" w14:textId="77777777" w:rsidR="008542F6" w:rsidRPr="00C80673" w:rsidRDefault="008542F6" w:rsidP="00D34B16">
      <w:pPr>
        <w:suppressAutoHyphens/>
        <w:spacing w:before="120" w:after="120" w:line="30" w:lineRule="atLeast"/>
        <w:ind w:left="35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Gdzie:</w:t>
      </w:r>
    </w:p>
    <w:p w14:paraId="2AE0C75B" w14:textId="77777777" w:rsidR="008542F6" w:rsidRPr="00C80673" w:rsidRDefault="00E207F0" w:rsidP="00D34B16">
      <w:pPr>
        <w:suppressAutoHyphens/>
        <w:spacing w:before="120" w:after="120" w:line="30" w:lineRule="atLeast"/>
        <w:ind w:left="357"/>
        <w:contextualSpacing/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Calibri" w:hAnsi="Cambria Math" w:cstheme="minorHAnsi"/>
                <w:iCs/>
                <w:color w:val="53555A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color w:val="53555A"/>
                <w:sz w:val="24"/>
                <w:szCs w:val="24"/>
                <w:lang w:eastAsia="pl-PL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color w:val="53555A"/>
                <w:sz w:val="24"/>
                <w:szCs w:val="24"/>
                <w:lang w:eastAsia="pl-PL"/>
              </w:rPr>
              <m:t>n</m:t>
            </m:r>
          </m:sub>
        </m:sSub>
      </m:oMath>
      <w:r w:rsidR="008542F6" w:rsidRPr="00C80673"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  <w:t xml:space="preserve"> – najniższa cena brutto spośród ocenianych ofert,</w:t>
      </w:r>
    </w:p>
    <w:p w14:paraId="0C4CB565" w14:textId="3F31E882" w:rsidR="008542F6" w:rsidRPr="00C80673" w:rsidRDefault="00E207F0" w:rsidP="001F45BA">
      <w:pPr>
        <w:suppressAutoHyphens/>
        <w:spacing w:before="120" w:after="120" w:line="30" w:lineRule="atLeast"/>
        <w:ind w:left="357"/>
        <w:contextualSpacing/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</w:pPr>
      <m:oMath>
        <m:sSub>
          <m:sSubPr>
            <m:ctrlPr>
              <w:rPr>
                <w:rFonts w:ascii="Cambria Math" w:eastAsia="Calibri" w:hAnsi="Cambria Math" w:cstheme="minorHAnsi"/>
                <w:iCs/>
                <w:color w:val="53555A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theme="minorHAnsi"/>
                <w:color w:val="53555A"/>
                <w:sz w:val="24"/>
                <w:szCs w:val="24"/>
                <w:lang w:eastAsia="pl-PL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Calibri" w:hAnsi="Cambria Math" w:cstheme="minorHAnsi"/>
                <w:color w:val="53555A"/>
                <w:sz w:val="24"/>
                <w:szCs w:val="24"/>
                <w:lang w:eastAsia="pl-PL"/>
              </w:rPr>
              <m:t>o</m:t>
            </m:r>
          </m:sub>
        </m:sSub>
      </m:oMath>
      <w:r w:rsidR="008542F6" w:rsidRPr="00C80673"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  <w:t xml:space="preserve"> -</w:t>
      </w:r>
      <w:r w:rsidR="00C9439C"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  <w:t xml:space="preserve"> </w:t>
      </w:r>
      <w:r w:rsidR="008542F6" w:rsidRPr="00C80673"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  <w:t>cena brutto oferty ocenianej</w:t>
      </w:r>
      <w:r w:rsidR="00C9439C">
        <w:rPr>
          <w:rFonts w:asciiTheme="minorHAnsi" w:eastAsia="Calibri" w:hAnsiTheme="minorHAnsi" w:cstheme="minorHAnsi"/>
          <w:iCs/>
          <w:color w:val="53555A"/>
          <w:sz w:val="24"/>
          <w:szCs w:val="24"/>
          <w:lang w:eastAsia="pl-PL"/>
        </w:rPr>
        <w:t>.</w:t>
      </w:r>
    </w:p>
    <w:p w14:paraId="6D09D4D4" w14:textId="41BF2D20" w:rsidR="008542F6" w:rsidRPr="00C80673" w:rsidRDefault="001F45BA" w:rsidP="001F45BA">
      <w:pPr>
        <w:spacing w:before="120" w:after="120" w:line="30" w:lineRule="atLeast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eastAsia="Calibri" w:cs="Calibri"/>
          <w:color w:val="53555A"/>
          <w:sz w:val="24"/>
          <w:szCs w:val="24"/>
          <w:lang w:eastAsia="pl-PL"/>
        </w:rPr>
        <w:t xml:space="preserve">3.4. 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>Wszystkie obliczenia dokonywane będą z dokładnością do dwóch miejsc po przecinku.</w:t>
      </w:r>
    </w:p>
    <w:p w14:paraId="2D36B13E" w14:textId="1A573F46" w:rsidR="008542F6" w:rsidRPr="00C80673" w:rsidRDefault="001F45BA" w:rsidP="001F45BA">
      <w:pPr>
        <w:spacing w:before="120" w:after="120" w:line="30" w:lineRule="atLeast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53555A"/>
          <w:sz w:val="24"/>
          <w:szCs w:val="24"/>
          <w:lang w:eastAsia="pl-PL"/>
        </w:rPr>
        <w:t xml:space="preserve">3.5. </w:t>
      </w:r>
      <w:r w:rsidR="008542F6" w:rsidRPr="00C80673">
        <w:rPr>
          <w:rFonts w:asciiTheme="minorHAnsi" w:hAnsiTheme="minorHAnsi" w:cstheme="minorHAnsi"/>
          <w:color w:val="53555A"/>
          <w:sz w:val="24"/>
          <w:szCs w:val="24"/>
          <w:lang w:eastAsia="pl-PL"/>
        </w:rPr>
        <w:t>Najkorzystniejsza Oferta może uzyskać maksimum 100 pkt.</w:t>
      </w:r>
    </w:p>
    <w:p w14:paraId="263A647A" w14:textId="5CE05E5A" w:rsidR="008542F6" w:rsidRPr="00C80673" w:rsidRDefault="008542F6" w:rsidP="00B37686">
      <w:pPr>
        <w:pStyle w:val="Nagwek2"/>
      </w:pPr>
      <w:r w:rsidRPr="00C80673">
        <w:t xml:space="preserve">Termin </w:t>
      </w:r>
      <w:r w:rsidR="009045A5" w:rsidRPr="00C80673">
        <w:t>związania ofertą</w:t>
      </w:r>
      <w:r w:rsidR="004F0C09" w:rsidRPr="00C80673">
        <w:t>:</w:t>
      </w:r>
    </w:p>
    <w:p w14:paraId="292D64B4" w14:textId="332207FC" w:rsidR="008542F6" w:rsidRPr="00C80673" w:rsidRDefault="009045A5" w:rsidP="00D34B16">
      <w:pPr>
        <w:spacing w:after="16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Termin związania ofertą wynosi 30 dni. Oferent może zostać poproszony o wydłużenie tego terminu</w:t>
      </w:r>
      <w:r w:rsidR="00250914">
        <w:rPr>
          <w:rFonts w:eastAsia="Calibri" w:cs="Calibri"/>
          <w:color w:val="53555A"/>
          <w:sz w:val="24"/>
          <w:szCs w:val="24"/>
          <w:lang w:eastAsia="pl-PL"/>
        </w:rPr>
        <w:t>.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</w:t>
      </w:r>
    </w:p>
    <w:p w14:paraId="4D7D12B3" w14:textId="1C912CDC" w:rsidR="008542F6" w:rsidRPr="00C80673" w:rsidRDefault="008542F6" w:rsidP="00B37686">
      <w:pPr>
        <w:pStyle w:val="Nagwek2"/>
      </w:pPr>
      <w:r w:rsidRPr="00C80673">
        <w:t>Warunki udziału w postępowaniu:</w:t>
      </w:r>
    </w:p>
    <w:p w14:paraId="18955291" w14:textId="77777777" w:rsidR="00E8315C" w:rsidRPr="00C80673" w:rsidRDefault="00E8315C" w:rsidP="00D34B16">
      <w:pPr>
        <w:spacing w:after="16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5.1. </w:t>
      </w:r>
      <w:r w:rsidR="00B1792F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W realizacji zamówienia mogą wziąć udział Oferenci </w:t>
      </w:r>
      <w:r w:rsidR="000772F6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posiadający niezbędną infrastrukturę konferencyjną i gastronomiczną. </w:t>
      </w:r>
    </w:p>
    <w:p w14:paraId="5243378A" w14:textId="037EAEB5" w:rsidR="008542F6" w:rsidRPr="00C80673" w:rsidRDefault="00E8315C" w:rsidP="00D34B16">
      <w:pPr>
        <w:spacing w:after="160" w:line="30" w:lineRule="atLeast"/>
        <w:rPr>
          <w:rFonts w:eastAsia="Calibri" w:cs="Calibri"/>
          <w:b/>
          <w:bCs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5.2. </w:t>
      </w:r>
      <w:r w:rsidR="000772F6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Obiekty zgłaszane do postępowania </w:t>
      </w:r>
      <w:r w:rsidR="00B37686">
        <w:rPr>
          <w:rFonts w:eastAsia="Calibri" w:cs="Calibri"/>
          <w:color w:val="53555A"/>
          <w:sz w:val="24"/>
          <w:szCs w:val="24"/>
          <w:lang w:eastAsia="pl-PL"/>
        </w:rPr>
        <w:t>muszą</w:t>
      </w:r>
      <w:r w:rsidR="000772F6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być dostępne dla osób z</w:t>
      </w:r>
      <w:r w:rsidR="00EF2E31" w:rsidRPr="00C80673">
        <w:rPr>
          <w:rFonts w:eastAsia="Calibri" w:cs="Calibri"/>
          <w:color w:val="53555A"/>
          <w:sz w:val="24"/>
          <w:szCs w:val="24"/>
          <w:lang w:eastAsia="pl-PL"/>
        </w:rPr>
        <w:t>e szczególnymi potrzebami,</w:t>
      </w:r>
      <w:r w:rsidR="000772F6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w tym dla osób </w:t>
      </w:r>
      <w:r w:rsidR="00EF2E31" w:rsidRPr="00C80673">
        <w:rPr>
          <w:rFonts w:eastAsia="Calibri" w:cs="Calibri"/>
          <w:color w:val="53555A"/>
          <w:sz w:val="24"/>
          <w:szCs w:val="24"/>
          <w:lang w:eastAsia="pl-PL"/>
        </w:rPr>
        <w:t>mających problemy z poruszaniem się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; </w:t>
      </w:r>
      <w:r w:rsidR="00B37686">
        <w:rPr>
          <w:rFonts w:eastAsia="Calibri" w:cs="Calibri"/>
          <w:color w:val="53555A"/>
          <w:sz w:val="24"/>
          <w:szCs w:val="24"/>
          <w:lang w:eastAsia="pl-PL"/>
        </w:rPr>
        <w:t xml:space="preserve">muszą 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zapewniać pokoje dostosowane do potrzeb osób z niepełnosprawnościami, dostępne toalety w sąsiedztwie Sali konferencyjnej</w:t>
      </w:r>
      <w:r w:rsidR="00250914">
        <w:rPr>
          <w:rFonts w:eastAsia="Calibri" w:cs="Calibri"/>
          <w:color w:val="53555A"/>
          <w:sz w:val="24"/>
          <w:szCs w:val="24"/>
          <w:lang w:eastAsia="pl-PL"/>
        </w:rPr>
        <w:t xml:space="preserve"> i spożywania posiłków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, dostępne miejsca parkingowe (minimum dwa) do dyspozycji uczestników spotkania.</w:t>
      </w:r>
    </w:p>
    <w:p w14:paraId="2AB4BE01" w14:textId="52E7E834" w:rsidR="008542F6" w:rsidRPr="00C80673" w:rsidRDefault="008542F6" w:rsidP="00B37686">
      <w:pPr>
        <w:pStyle w:val="Nagwek2"/>
      </w:pPr>
      <w:r w:rsidRPr="00C80673">
        <w:t>Wymagane dokumenty:</w:t>
      </w:r>
    </w:p>
    <w:p w14:paraId="72E9F677" w14:textId="71390131" w:rsidR="008542F6" w:rsidRPr="00C80673" w:rsidRDefault="008542F6" w:rsidP="00B57DE7">
      <w:pPr>
        <w:keepNext/>
        <w:keepLines/>
        <w:spacing w:before="120" w:after="120" w:line="30" w:lineRule="atLeast"/>
        <w:ind w:left="357"/>
        <w:contextualSpacing/>
        <w:rPr>
          <w:rFonts w:cs="Calibri"/>
          <w:color w:val="53555A"/>
          <w:sz w:val="24"/>
          <w:szCs w:val="24"/>
          <w:lang w:eastAsia="zh-CN"/>
        </w:rPr>
      </w:pPr>
      <w:r w:rsidRPr="00C80673">
        <w:rPr>
          <w:rFonts w:eastAsia="Calibri" w:cs="Calibri"/>
          <w:color w:val="53555A"/>
          <w:sz w:val="24"/>
          <w:szCs w:val="24"/>
          <w:lang w:eastAsia="zh-CN"/>
        </w:rPr>
        <w:t xml:space="preserve">Formularz ofertowy, stanowiący załącznik nr </w:t>
      </w:r>
      <w:r w:rsidR="008C6A59">
        <w:rPr>
          <w:rFonts w:eastAsia="Calibri" w:cs="Calibri"/>
          <w:color w:val="53555A"/>
          <w:sz w:val="24"/>
          <w:szCs w:val="24"/>
          <w:lang w:eastAsia="zh-CN"/>
        </w:rPr>
        <w:t>1</w:t>
      </w:r>
      <w:r w:rsidRPr="00C80673">
        <w:rPr>
          <w:rFonts w:eastAsia="Calibri" w:cs="Calibri"/>
          <w:color w:val="53555A"/>
          <w:sz w:val="24"/>
          <w:szCs w:val="24"/>
          <w:lang w:eastAsia="zh-CN"/>
        </w:rPr>
        <w:t xml:space="preserve"> do Zapytania ofertowego.</w:t>
      </w:r>
    </w:p>
    <w:p w14:paraId="53289C4E" w14:textId="77777777" w:rsidR="009C0E7F" w:rsidRPr="00C80673" w:rsidRDefault="008542F6" w:rsidP="00B37686">
      <w:pPr>
        <w:pStyle w:val="Nagwek2"/>
      </w:pPr>
      <w:r w:rsidRPr="00C80673">
        <w:t>Określenie miejsca, sposobu i terminu składania ofert:</w:t>
      </w:r>
    </w:p>
    <w:p w14:paraId="41DA3009" w14:textId="2E01008A" w:rsidR="008542F6" w:rsidRPr="00C80673" w:rsidRDefault="008542F6" w:rsidP="00D34B16">
      <w:pPr>
        <w:spacing w:line="30" w:lineRule="atLeast"/>
        <w:rPr>
          <w:rFonts w:eastAsia="Calibri"/>
          <w:color w:val="53555A"/>
          <w:sz w:val="24"/>
          <w:szCs w:val="24"/>
          <w:lang w:eastAsia="pl-PL"/>
        </w:rPr>
      </w:pPr>
      <w:r w:rsidRPr="00C80673">
        <w:rPr>
          <w:rFonts w:eastAsia="Calibri"/>
          <w:color w:val="53555A"/>
          <w:sz w:val="24"/>
          <w:szCs w:val="24"/>
          <w:lang w:eastAsia="pl-PL"/>
        </w:rPr>
        <w:t xml:space="preserve">Ofertę należy przesłać pocztą elektroniczną na adres: </w:t>
      </w:r>
      <w:r w:rsidR="00F02C05" w:rsidRPr="00C80673">
        <w:rPr>
          <w:rFonts w:eastAsia="Calibri"/>
          <w:color w:val="53555A"/>
          <w:sz w:val="24"/>
          <w:szCs w:val="24"/>
          <w:lang w:eastAsia="pl-PL"/>
        </w:rPr>
        <w:t>katarzyna.gierczak.kasa</w:t>
      </w:r>
      <w:r w:rsidRPr="00C80673">
        <w:rPr>
          <w:rFonts w:eastAsia="Calibri"/>
          <w:color w:val="53555A"/>
          <w:sz w:val="24"/>
          <w:szCs w:val="24"/>
          <w:lang w:eastAsia="pl-PL"/>
        </w:rPr>
        <w:t xml:space="preserve">@pfron.org.pl, do dnia </w:t>
      </w:r>
      <w:r w:rsidR="008D56C3">
        <w:rPr>
          <w:rFonts w:eastAsia="Calibri"/>
          <w:color w:val="53555A"/>
          <w:sz w:val="24"/>
          <w:szCs w:val="24"/>
          <w:lang w:eastAsia="pl-PL"/>
        </w:rPr>
        <w:t>20</w:t>
      </w:r>
      <w:r w:rsidR="008D56C3" w:rsidRPr="00C80673">
        <w:rPr>
          <w:rFonts w:eastAsia="Calibri"/>
          <w:color w:val="53555A"/>
          <w:sz w:val="24"/>
          <w:szCs w:val="24"/>
          <w:lang w:eastAsia="pl-PL"/>
        </w:rPr>
        <w:t xml:space="preserve"> </w:t>
      </w:r>
      <w:r w:rsidR="003A6846" w:rsidRPr="00C80673">
        <w:rPr>
          <w:rFonts w:eastAsia="Calibri"/>
          <w:color w:val="53555A"/>
          <w:sz w:val="24"/>
          <w:szCs w:val="24"/>
          <w:lang w:eastAsia="pl-PL"/>
        </w:rPr>
        <w:t>czerwca</w:t>
      </w:r>
      <w:r w:rsidR="009F2DB6" w:rsidRPr="00C80673">
        <w:rPr>
          <w:rFonts w:eastAsia="Calibri"/>
          <w:color w:val="53555A"/>
          <w:sz w:val="24"/>
          <w:szCs w:val="24"/>
          <w:lang w:eastAsia="pl-PL"/>
        </w:rPr>
        <w:t> 2022</w:t>
      </w:r>
      <w:r w:rsidRPr="00C80673">
        <w:rPr>
          <w:rFonts w:eastAsia="Calibri"/>
          <w:color w:val="53555A"/>
          <w:sz w:val="24"/>
          <w:szCs w:val="24"/>
          <w:lang w:eastAsia="pl-PL"/>
        </w:rPr>
        <w:t xml:space="preserve"> roku.</w:t>
      </w:r>
    </w:p>
    <w:p w14:paraId="6A719FA9" w14:textId="00374DA6" w:rsidR="008542F6" w:rsidRPr="00C80673" w:rsidRDefault="008542F6" w:rsidP="00B37686">
      <w:pPr>
        <w:pStyle w:val="Nagwek2"/>
      </w:pPr>
      <w:r w:rsidRPr="00C80673">
        <w:t>Osoba uprawniona do kontaktów z Wykonawcami:</w:t>
      </w:r>
    </w:p>
    <w:p w14:paraId="240700CB" w14:textId="087CDB9A" w:rsidR="008542F6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Informacji na temat przedmiotu zamówienia udziela </w:t>
      </w:r>
      <w:r w:rsidR="00F02C05" w:rsidRPr="00C80673">
        <w:rPr>
          <w:rFonts w:eastAsia="Calibri" w:cs="Calibri"/>
          <w:color w:val="53555A"/>
          <w:sz w:val="24"/>
          <w:szCs w:val="24"/>
          <w:lang w:eastAsia="pl-PL"/>
        </w:rPr>
        <w:t>Katarzyna Gierczak-Kasa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, tel. </w:t>
      </w:r>
      <w:r w:rsidR="00F02C05" w:rsidRPr="00C80673">
        <w:rPr>
          <w:rFonts w:asciiTheme="minorHAnsi" w:hAnsiTheme="minorHAnsi" w:cstheme="minorHAnsi"/>
          <w:sz w:val="24"/>
          <w:szCs w:val="24"/>
        </w:rPr>
        <w:t>538 508 074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, e-mail: </w:t>
      </w:r>
      <w:hyperlink r:id="rId18" w:history="1">
        <w:r w:rsidR="00E207F0" w:rsidRPr="004960D4">
          <w:rPr>
            <w:rStyle w:val="Hipercze"/>
            <w:rFonts w:eastAsia="Calibri" w:cs="Calibri"/>
            <w:sz w:val="24"/>
            <w:szCs w:val="24"/>
            <w:lang w:eastAsia="pl-PL"/>
          </w:rPr>
          <w:t>katarzyna.gierczak-kasa@pfron.org.pl</w:t>
        </w:r>
      </w:hyperlink>
      <w:r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3BB642E3" w14:textId="35657BB5" w:rsidR="008542F6" w:rsidRPr="00C80673" w:rsidRDefault="008542F6" w:rsidP="00B37686">
      <w:pPr>
        <w:pStyle w:val="Nagwek2"/>
      </w:pPr>
      <w:r w:rsidRPr="00C80673">
        <w:t xml:space="preserve">Termin </w:t>
      </w:r>
      <w:r w:rsidR="00250914">
        <w:t xml:space="preserve">i miejsce </w:t>
      </w:r>
      <w:r w:rsidRPr="00C80673">
        <w:t>wykonania Zamówienia:</w:t>
      </w:r>
    </w:p>
    <w:p w14:paraId="5A30E1D2" w14:textId="5FB9D379" w:rsidR="008542F6" w:rsidRPr="00C80673" w:rsidRDefault="00E8315C" w:rsidP="00D34B16">
      <w:pPr>
        <w:tabs>
          <w:tab w:val="left" w:leader="dot" w:pos="9498"/>
        </w:tabs>
        <w:spacing w:before="120" w:after="120" w:line="30" w:lineRule="atLeast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Zamówienie zostanie wykonane </w:t>
      </w:r>
      <w:r w:rsidR="00250914">
        <w:rPr>
          <w:rFonts w:eastAsia="Calibri" w:cs="Calibri"/>
          <w:color w:val="53555A"/>
          <w:sz w:val="24"/>
          <w:szCs w:val="24"/>
          <w:lang w:eastAsia="pl-PL"/>
        </w:rPr>
        <w:t xml:space="preserve">w Gdyni 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w dniach 24.07-26.07.2022 r. Termin może ulec zmianie. Zmiana terminu zostanie uzgodniona z Wykonawcą usługi.</w:t>
      </w:r>
    </w:p>
    <w:p w14:paraId="20540996" w14:textId="68FB41C8" w:rsidR="008542F6" w:rsidRPr="00C80673" w:rsidRDefault="008542F6" w:rsidP="00B37686">
      <w:pPr>
        <w:pStyle w:val="Nagwek2"/>
      </w:pPr>
      <w:r w:rsidRPr="00C80673">
        <w:t>Sposób oceny ofert:</w:t>
      </w:r>
    </w:p>
    <w:p w14:paraId="5300803B" w14:textId="6DA8E812" w:rsidR="008542F6" w:rsidRPr="00C80673" w:rsidRDefault="00262640" w:rsidP="00D34B16">
      <w:pPr>
        <w:spacing w:before="120" w:after="120" w:line="30" w:lineRule="atLeast"/>
        <w:rPr>
          <w:rFonts w:asciiTheme="minorHAnsi" w:eastAsia="Calibri" w:hAnsiTheme="minorHAnsi" w:cstheme="minorHAnsi"/>
          <w:color w:val="53555A"/>
          <w:sz w:val="24"/>
          <w:szCs w:val="24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10.1. </w:t>
      </w:r>
      <w:r w:rsidR="008542F6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Oferta spełniająca wszystkie wymagania Zamawiającego zostanie oceniona na podstawie złożonego przez Wykonawcę formularza ofertowego. </w:t>
      </w:r>
      <w:r w:rsidR="008542F6" w:rsidRPr="00C80673">
        <w:rPr>
          <w:rFonts w:asciiTheme="minorHAnsi" w:eastAsia="Calibri" w:hAnsiTheme="minorHAnsi" w:cstheme="minorHAnsi"/>
          <w:color w:val="53555A"/>
          <w:sz w:val="24"/>
          <w:szCs w:val="24"/>
        </w:rPr>
        <w:t xml:space="preserve">W przypadku, gdy w </w:t>
      </w:r>
      <w:r w:rsidR="008542F6" w:rsidRPr="00C80673">
        <w:rPr>
          <w:rFonts w:asciiTheme="minorHAnsi" w:eastAsia="Calibri" w:hAnsiTheme="minorHAnsi" w:cstheme="minorHAnsi"/>
          <w:color w:val="53555A"/>
          <w:sz w:val="24"/>
          <w:szCs w:val="24"/>
        </w:rPr>
        <w:lastRenderedPageBreak/>
        <w:t>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7D57D80E" w14:textId="21B2FFB8" w:rsidR="007D1AA2" w:rsidRPr="00C80673" w:rsidRDefault="00262640" w:rsidP="00D34B16">
      <w:pPr>
        <w:spacing w:before="120" w:after="120" w:line="30" w:lineRule="atLeast"/>
        <w:rPr>
          <w:rFonts w:eastAsia="Calibri" w:cs="Calibri"/>
          <w:color w:val="53555A"/>
          <w:sz w:val="24"/>
          <w:szCs w:val="24"/>
        </w:rPr>
      </w:pPr>
      <w:r w:rsidRPr="00C80673">
        <w:rPr>
          <w:rFonts w:eastAsia="Calibri" w:cs="Calibri"/>
          <w:color w:val="53555A"/>
          <w:sz w:val="24"/>
          <w:szCs w:val="24"/>
        </w:rPr>
        <w:t xml:space="preserve">10.2. </w:t>
      </w:r>
      <w:r w:rsidR="007D1AA2" w:rsidRPr="00C80673">
        <w:rPr>
          <w:rFonts w:eastAsia="Calibri" w:cs="Calibri"/>
          <w:color w:val="53555A"/>
          <w:sz w:val="24"/>
          <w:szCs w:val="24"/>
        </w:rPr>
        <w:t xml:space="preserve">Zamawiający odrzuci ofertę, jeżeli oferta została złożona przez Wykonawcę, który posiada zaległości </w:t>
      </w:r>
      <w:r w:rsidR="00926B8E" w:rsidRPr="00C80673">
        <w:rPr>
          <w:rFonts w:eastAsia="Calibri" w:cs="Calibri"/>
          <w:color w:val="53555A"/>
          <w:sz w:val="24"/>
          <w:szCs w:val="24"/>
        </w:rPr>
        <w:t xml:space="preserve">finansowe </w:t>
      </w:r>
      <w:r w:rsidR="007D1AA2" w:rsidRPr="00C80673">
        <w:rPr>
          <w:rFonts w:eastAsia="Calibri" w:cs="Calibri"/>
          <w:color w:val="53555A"/>
          <w:sz w:val="24"/>
          <w:szCs w:val="24"/>
        </w:rPr>
        <w:t>względem Zamawiającego lub jest z nim w sporze prawnym. Wykonawca potwierdzi na formularzu ofertowym, że nie posiada rzeczonych zaległości względem Zamawiającego ani nie jest z</w:t>
      </w:r>
      <w:r w:rsidR="00A5148A" w:rsidRPr="00C80673">
        <w:rPr>
          <w:rFonts w:eastAsia="Calibri" w:cs="Calibri"/>
          <w:color w:val="53555A"/>
          <w:sz w:val="24"/>
          <w:szCs w:val="24"/>
        </w:rPr>
        <w:t> </w:t>
      </w:r>
      <w:r w:rsidR="007D1AA2" w:rsidRPr="00C80673">
        <w:rPr>
          <w:rFonts w:eastAsia="Calibri" w:cs="Calibri"/>
          <w:color w:val="53555A"/>
          <w:sz w:val="24"/>
          <w:szCs w:val="24"/>
        </w:rPr>
        <w:t>nim w sporze prawnym.</w:t>
      </w:r>
    </w:p>
    <w:p w14:paraId="0191FDF4" w14:textId="0D86B444" w:rsidR="00CC6726" w:rsidRPr="00C80673" w:rsidRDefault="00262640" w:rsidP="00D34B16">
      <w:pPr>
        <w:spacing w:before="120" w:after="120" w:line="30" w:lineRule="atLeast"/>
        <w:rPr>
          <w:rFonts w:eastAsia="Calibri" w:cs="Calibri"/>
          <w:color w:val="53555A"/>
          <w:sz w:val="24"/>
          <w:szCs w:val="24"/>
        </w:rPr>
      </w:pPr>
      <w:r w:rsidRPr="00C80673">
        <w:rPr>
          <w:rFonts w:eastAsia="Calibri" w:cs="Calibri"/>
          <w:color w:val="53555A"/>
          <w:sz w:val="24"/>
          <w:szCs w:val="24"/>
        </w:rPr>
        <w:t xml:space="preserve">10.3. </w:t>
      </w:r>
      <w:r w:rsidR="00CC6726" w:rsidRPr="00C80673">
        <w:rPr>
          <w:rFonts w:eastAsia="Calibri" w:cs="Calibri"/>
          <w:color w:val="53555A"/>
          <w:sz w:val="24"/>
          <w:szCs w:val="24"/>
        </w:rPr>
        <w:t>Zamawiający zastrzega sobie możliwość rezygnacji z wyboru Wykonawcy</w:t>
      </w:r>
      <w:r w:rsidR="00EF2E31" w:rsidRPr="00C80673">
        <w:rPr>
          <w:rFonts w:eastAsia="Calibri" w:cs="Calibri"/>
          <w:color w:val="53555A"/>
          <w:sz w:val="24"/>
          <w:szCs w:val="24"/>
        </w:rPr>
        <w:t>,</w:t>
      </w:r>
      <w:r w:rsidR="00CC6726" w:rsidRPr="00C80673">
        <w:rPr>
          <w:rFonts w:eastAsia="Calibri" w:cs="Calibri"/>
          <w:color w:val="53555A"/>
          <w:sz w:val="24"/>
          <w:szCs w:val="24"/>
        </w:rPr>
        <w:t xml:space="preserve"> jeśli nie spełni on podstawowych kryteriów związanych z koniecznością zapewnienia dostępności architektonicznej obiektu. </w:t>
      </w:r>
    </w:p>
    <w:p w14:paraId="55442EE0" w14:textId="1840A23D" w:rsidR="008542F6" w:rsidRPr="00C80673" w:rsidRDefault="008542F6" w:rsidP="00B37686">
      <w:pPr>
        <w:pStyle w:val="Nagwek2"/>
      </w:pPr>
      <w:r w:rsidRPr="00C80673">
        <w:t>Informacje dodatkowe:</w:t>
      </w:r>
    </w:p>
    <w:p w14:paraId="6BFF0ABC" w14:textId="491FCC1A" w:rsidR="00BD62E7" w:rsidRDefault="00BD62E7" w:rsidP="00BD62E7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eastAsia="Calibri" w:cs="Calibri"/>
          <w:color w:val="53555A"/>
          <w:sz w:val="24"/>
          <w:szCs w:val="24"/>
          <w:lang w:eastAsia="pl-PL"/>
        </w:rPr>
      </w:pPr>
      <w:r>
        <w:rPr>
          <w:rFonts w:eastAsia="Calibri" w:cs="Calibri"/>
          <w:color w:val="53555A"/>
          <w:sz w:val="24"/>
          <w:szCs w:val="24"/>
          <w:lang w:eastAsia="pl-PL"/>
        </w:rPr>
        <w:t xml:space="preserve">Zamawiający zastrzega sobie możliwość zmiany liczby osób, o czym poinformuje Wykonawcę najpóźniej 3 dni przed planowanym terminem realizacji usługi. </w:t>
      </w:r>
    </w:p>
    <w:p w14:paraId="33C7203E" w14:textId="332D4D66" w:rsidR="008542F6" w:rsidRPr="00C80673" w:rsidRDefault="008542F6" w:rsidP="00BD62E7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W toku analizy ofert Zamawiający może żądać od Oferentów wyjaśnień dotyczących treści złożonych ofert.</w:t>
      </w:r>
    </w:p>
    <w:p w14:paraId="792CAE55" w14:textId="4F9544A9" w:rsidR="008542F6" w:rsidRPr="00C80673" w:rsidRDefault="008542F6" w:rsidP="00BD62E7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Występujące w ofertach oczywiste omyłki pisarskie zostaną poprawione przez </w:t>
      </w: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br/>
        <w:t>Zamawiającego.</w:t>
      </w:r>
    </w:p>
    <w:p w14:paraId="4228DB7B" w14:textId="7CB5896B" w:rsidR="008542F6" w:rsidRPr="00C80673" w:rsidRDefault="008542F6" w:rsidP="00BD62E7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Oferty nieczytelne nie będą rozpatrywane.</w:t>
      </w:r>
    </w:p>
    <w:p w14:paraId="3478C70A" w14:textId="21D8CE6A" w:rsidR="008542F6" w:rsidRPr="00C80673" w:rsidRDefault="008542F6" w:rsidP="00BD62E7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Oferta winna zawierać: nazwę, adres, numer telefonu do kontaktu z oferentem oraz datę sporządzenia oferty i podpis Oferenta.</w:t>
      </w:r>
      <w:r w:rsidR="00E711E5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 </w:t>
      </w:r>
      <w:r w:rsidR="007D2808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Ofertę należ</w:t>
      </w:r>
      <w:r w:rsidR="00F13A7F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 xml:space="preserve">y podpisać </w:t>
      </w:r>
      <w:r w:rsidR="00E711E5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kwalifikowanym podpisem elektronicznym, podpisem zaufanym lub elektronicznym podpisem osobistym</w:t>
      </w:r>
      <w:r w:rsidR="00F13A7F"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.</w:t>
      </w:r>
    </w:p>
    <w:p w14:paraId="18789DCE" w14:textId="02E9787A" w:rsidR="008542F6" w:rsidRPr="00C80673" w:rsidRDefault="008542F6" w:rsidP="00BD62E7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Na stronie internetowej Zamawiający umieści zestawienie ofert z podaniem ostatecznych cen i danych Wykonawców.</w:t>
      </w:r>
    </w:p>
    <w:p w14:paraId="664AB323" w14:textId="46E5EDC8" w:rsidR="008542F6" w:rsidRPr="00C80673" w:rsidRDefault="008542F6" w:rsidP="00BD62E7">
      <w:pPr>
        <w:pStyle w:val="Akapitzlist"/>
        <w:numPr>
          <w:ilvl w:val="1"/>
          <w:numId w:val="5"/>
        </w:numPr>
        <w:spacing w:after="0" w:line="30" w:lineRule="atLeast"/>
        <w:ind w:left="567" w:hanging="567"/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</w:pPr>
      <w:r w:rsidRPr="00C80673">
        <w:rPr>
          <w:rFonts w:asciiTheme="minorHAnsi" w:eastAsia="Calibri" w:hAnsiTheme="minorHAnsi" w:cstheme="minorHAnsi"/>
          <w:color w:val="53555A"/>
          <w:sz w:val="24"/>
          <w:szCs w:val="24"/>
          <w:lang w:eastAsia="pl-PL"/>
        </w:rPr>
        <w:t>Wszystkie koszty związane ze sporządzeniem i złożeniem oferty ponosi Wykonawca; PFRON nie przewiduje zwrotu kosztów udziału w postępowaniu.</w:t>
      </w:r>
    </w:p>
    <w:p w14:paraId="1E6AEE71" w14:textId="39B2391F" w:rsidR="00BD62E7" w:rsidRDefault="00BD62E7" w:rsidP="00B37686">
      <w:pPr>
        <w:pStyle w:val="Nagwek2"/>
      </w:pPr>
      <w:r>
        <w:t xml:space="preserve">Postanowienia końcowe: </w:t>
      </w:r>
    </w:p>
    <w:p w14:paraId="074A21AC" w14:textId="52501246" w:rsidR="00BD62E7" w:rsidRDefault="00BD62E7" w:rsidP="00BD62E7">
      <w:pPr>
        <w:autoSpaceDE w:val="0"/>
        <w:autoSpaceDN w:val="0"/>
        <w:adjustRightInd w:val="0"/>
        <w:spacing w:after="68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12.1.  Zapytanie ofertowe nie stanowi oferty w rozumieniu art. 66 Kodeksu cywilnego.</w:t>
      </w:r>
    </w:p>
    <w:p w14:paraId="41FA74F0" w14:textId="049AEEC5" w:rsidR="00BD62E7" w:rsidRDefault="00BD62E7" w:rsidP="00BD62E7">
      <w:pPr>
        <w:autoSpaceDE w:val="0"/>
        <w:autoSpaceDN w:val="0"/>
        <w:adjustRightInd w:val="0"/>
        <w:spacing w:after="68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12.2. Zamawiający zastrzega sobie prawo negocjacji ceny ofert z Wykonawcami którzy złożyli w terminie prawidłowe oferty.</w:t>
      </w:r>
    </w:p>
    <w:p w14:paraId="4064F088" w14:textId="644E029D" w:rsidR="00BD62E7" w:rsidRDefault="00BD62E7" w:rsidP="00BD6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12.3. Zamawiający zastrzega sobie prawo unieważnienia przedmiotowego postępowania na każdym etapie bez podania przyczyny unieważnienia. </w:t>
      </w:r>
    </w:p>
    <w:p w14:paraId="6C22DFCA" w14:textId="77777777" w:rsidR="00BD62E7" w:rsidRDefault="00BD62E7" w:rsidP="00BD62E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12.4.  Wszelkie zobowiązania powstałe z tytułu nabytych towarów i usług udokumentowane otrzymanymi fakturami, Państwowy Fundusz Rehabilitacji Osób Niepełnosprawnych będzie regulować wyłącznie na rachunki bankowe znajdujące się na „białej liście podatników VAT”. </w:t>
      </w:r>
    </w:p>
    <w:p w14:paraId="462C22DD" w14:textId="23466C21" w:rsidR="00BD62E7" w:rsidRDefault="00B37686" w:rsidP="008D56C3">
      <w:pPr>
        <w:pStyle w:val="Nagwek2"/>
      </w:pPr>
      <w:r>
        <w:t>Informacja o przetwarzaniu d</w:t>
      </w:r>
      <w:r w:rsidR="00BD62E7">
        <w:t>an</w:t>
      </w:r>
      <w:r>
        <w:t>ych</w:t>
      </w:r>
      <w:r w:rsidR="00BD62E7">
        <w:t xml:space="preserve"> osobow</w:t>
      </w:r>
      <w:r>
        <w:t>ych</w:t>
      </w:r>
    </w:p>
    <w:p w14:paraId="3625418B" w14:textId="2C2297F3" w:rsidR="0077137E" w:rsidRPr="00C80673" w:rsidRDefault="00F12654" w:rsidP="00BD62E7">
      <w:pPr>
        <w:autoSpaceDE w:val="0"/>
        <w:autoSpaceDN w:val="0"/>
        <w:adjustRightInd w:val="0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Działając na podstawie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lastRenderedPageBreak/>
        <w:t>119 z 04.05.2016, str. 1), dalej „RODO”, w  </w:t>
      </w:r>
      <w:r w:rsidR="00D319AD" w:rsidRPr="00C80673">
        <w:rPr>
          <w:rFonts w:eastAsia="Calibri" w:cs="Calibri"/>
          <w:color w:val="53555A"/>
          <w:sz w:val="24"/>
          <w:szCs w:val="24"/>
          <w:lang w:eastAsia="pl-PL"/>
        </w:rPr>
        <w:t>z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wiązku z zapytaniem ofertowym na usługę </w:t>
      </w:r>
      <w:r w:rsidR="00F02C05" w:rsidRPr="00C80673">
        <w:rPr>
          <w:rFonts w:eastAsia="Calibri" w:cs="Calibri"/>
          <w:color w:val="53555A"/>
          <w:sz w:val="24"/>
          <w:szCs w:val="24"/>
          <w:lang w:eastAsia="pl-PL"/>
        </w:rPr>
        <w:t>opracowania i przygotowania do druku dwóch wydań katalogu informacyjno-promocyjnego o nazwie „Architektura Dostępna”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(dalej: „Zapytanie”), Zamawiający przekazuje poniżej informacje dotyczące przetwarzania danych osobowych</w:t>
      </w:r>
      <w:r w:rsidR="0077137E"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4E40BA51" w14:textId="3D614F58" w:rsidR="0033668A" w:rsidRPr="00C80673" w:rsidRDefault="0033668A" w:rsidP="00D34B16">
      <w:pPr>
        <w:keepNext/>
        <w:keepLines/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W przypadku konieczności powierzenia wykonawcy przetwarzania danych osobowych w ramach realizacji umowy </w:t>
      </w:r>
      <w:r w:rsidR="00AE4934" w:rsidRPr="00C80673">
        <w:rPr>
          <w:rFonts w:eastAsia="Calibri" w:cs="Calibri"/>
          <w:color w:val="53555A"/>
          <w:sz w:val="24"/>
          <w:szCs w:val="24"/>
          <w:lang w:eastAsia="pl-PL"/>
        </w:rPr>
        <w:t>Z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amawiający przeprowadzi weryfikację wdrożenia przez</w:t>
      </w:r>
      <w:r w:rsidR="00AE4934"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W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ykonawcę odpowiednich środków technicznych i organizacyjnych, zgodnych z przepisami o ochronie danych osobowych i</w:t>
      </w:r>
      <w:r w:rsidR="00AE4934" w:rsidRPr="00C80673">
        <w:rPr>
          <w:rFonts w:eastAsia="Calibri" w:cs="Calibri"/>
          <w:color w:val="53555A"/>
          <w:sz w:val="24"/>
          <w:szCs w:val="24"/>
          <w:lang w:eastAsia="pl-PL"/>
        </w:rPr>
        <w:t> 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chroniących prawa osób, których dane dotyczą</w:t>
      </w:r>
      <w:r w:rsidR="00AE4934"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7AB464A4" w14:textId="6139AE2D" w:rsidR="008542F6" w:rsidRPr="00C80673" w:rsidRDefault="008542F6" w:rsidP="00D34B16">
      <w:pPr>
        <w:pStyle w:val="Nagwek3"/>
        <w:keepLines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Tożsamość administratora</w:t>
      </w:r>
    </w:p>
    <w:p w14:paraId="7585D259" w14:textId="77777777" w:rsidR="008542F6" w:rsidRPr="00C80673" w:rsidRDefault="008542F6" w:rsidP="00D34B16">
      <w:pPr>
        <w:keepNext/>
        <w:keepLines/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Administratorem Państwa danych osobowych jest Państwowy Fundusz Rehabilitacji Osób Niepełnosprawnych (PFRON) z siedzibą w Warszawie (00-828), przy al. Jana Pawła II 13.</w:t>
      </w:r>
    </w:p>
    <w:p w14:paraId="29E39A64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Dane kontaktowe administratora</w:t>
      </w:r>
    </w:p>
    <w:p w14:paraId="1BA6C420" w14:textId="77777777" w:rsidR="008542F6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Z administratorem można skontaktować się poprzez adres e-mail: </w:t>
      </w:r>
      <w:hyperlink r:id="rId19">
        <w:r w:rsidRPr="00C80673">
          <w:rPr>
            <w:rFonts w:eastAsia="Calibri" w:cs="Calibri"/>
            <w:color w:val="53555A"/>
            <w:sz w:val="24"/>
            <w:szCs w:val="24"/>
            <w:u w:val="single"/>
            <w:lang w:eastAsia="pl-PL"/>
          </w:rPr>
          <w:t>kancelaria@pfron.org.pl</w:t>
        </w:r>
      </w:hyperlink>
      <w:r w:rsidRPr="00C80673">
        <w:rPr>
          <w:rFonts w:eastAsia="Calibri" w:cs="Calibri"/>
          <w:color w:val="53555A"/>
          <w:sz w:val="24"/>
          <w:szCs w:val="24"/>
          <w:lang w:eastAsia="pl-PL"/>
        </w:rPr>
        <w:t>, telefonicznie pod numerem +48 22 50 55 500 lub pisemnie na adres siedziby administratora.</w:t>
      </w:r>
    </w:p>
    <w:p w14:paraId="67BEB246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Dane kontaktowe Inspektora Ochrony Danych</w:t>
      </w:r>
    </w:p>
    <w:p w14:paraId="19CA1F8B" w14:textId="77777777" w:rsidR="008542F6" w:rsidRPr="00C80673" w:rsidRDefault="008542F6" w:rsidP="00D34B16">
      <w:pPr>
        <w:keepNext/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Administrator wyznaczył inspektora ochrony danych, z którym można skontaktować się poprzez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br/>
        <w:t xml:space="preserve">e-mail: </w:t>
      </w:r>
      <w:hyperlink r:id="rId20">
        <w:r w:rsidRPr="00C80673">
          <w:rPr>
            <w:rFonts w:eastAsia="Calibri" w:cs="Calibri"/>
            <w:color w:val="53555A"/>
            <w:sz w:val="24"/>
            <w:szCs w:val="24"/>
            <w:u w:val="single"/>
            <w:lang w:eastAsia="pl-PL"/>
          </w:rPr>
          <w:t>iod@pfron.org.pl</w:t>
        </w:r>
      </w:hyperlink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we wszystkich sprawach dotyczących przetwarzania danych osobowych oraz korzystania z praw związanych z przetwarzaniem.</w:t>
      </w:r>
    </w:p>
    <w:p w14:paraId="7A28D17D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Cele przetwarzania</w:t>
      </w:r>
    </w:p>
    <w:p w14:paraId="0AF998E2" w14:textId="01B53D88" w:rsidR="008542F6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Celem przetwarzania danych osobowych jest przeprowadzenie Zapytania.</w:t>
      </w:r>
    </w:p>
    <w:p w14:paraId="246ABBF1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Podstawa prawna przetwarzania</w:t>
      </w:r>
    </w:p>
    <w:p w14:paraId="2DB8DBFA" w14:textId="77777777" w:rsidR="008542F6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Podstawą prawną przetwarzania Państwa danych osobowych jest art. 6 ust. 1 lit. c RODO (realizacja przez administratora obowiązku prawnego).</w:t>
      </w:r>
    </w:p>
    <w:p w14:paraId="27DBCDFA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Źródło danych osobowych</w:t>
      </w:r>
    </w:p>
    <w:p w14:paraId="3679C697" w14:textId="7CAB77EB" w:rsidR="008542F6" w:rsidRPr="00C80673" w:rsidRDefault="00D75B7A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Administrator może pozyskiwać dane osobowe przedstawicieli Oferenta za jego pośrednictwem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78C44F5E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Kategorie danych osobowych</w:t>
      </w:r>
    </w:p>
    <w:p w14:paraId="1E25B20D" w14:textId="13683F3D" w:rsidR="008542F6" w:rsidRPr="00C80673" w:rsidRDefault="00AC6A34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Zakres danych dotyczących przedstawicieli Oferenta obejmuje dane osobowe przedstawione w ofercie, w szczególności imię, nazwisko, stanowisko, adres poczty elektronicznej lub numer telefonu</w:t>
      </w:r>
      <w:r w:rsidR="008542F6"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272C5B97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Okres, przez który dane będą przechowywane</w:t>
      </w:r>
    </w:p>
    <w:p w14:paraId="6BC2728A" w14:textId="2D556EAD" w:rsidR="008542F6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Państwa dane osobowe będą przetwarzane przez okres wynikający z obowiązujących przepisów, zgodnie z zasadami archiwizacji obowiązującymi w PFRON, nie dłużej jednak niż do ustania celu, dla którego dane zostały zebrane, lub cofnięcia zgody na przetwarzanie danych osobowych.</w:t>
      </w:r>
    </w:p>
    <w:p w14:paraId="1DB10B4D" w14:textId="77777777" w:rsidR="008542F6" w:rsidRPr="00C80673" w:rsidRDefault="008542F6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Podmioty, którym będą udostępniane dane osobowe</w:t>
      </w:r>
    </w:p>
    <w:p w14:paraId="2C0B437E" w14:textId="5E9A36D9" w:rsidR="008542F6" w:rsidRPr="00C80673" w:rsidRDefault="000E1500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Dostęp do Państwa danych osobowych mogą mieć podmioty świadczące na rzecz administratora usługi doradcze, z zakresu pomocy prawnej, pocztowe, dostawy, dostawy lub utrzymania systemów informatycznych.</w:t>
      </w:r>
    </w:p>
    <w:p w14:paraId="008CD1D7" w14:textId="1BFBE439" w:rsidR="0094558C" w:rsidRPr="00C80673" w:rsidRDefault="008542F6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lastRenderedPageBreak/>
        <w:t>Państwa dane osobowe mogą być udostępniane przez PFRON podmiotom uprawnionym do ich otrzymania na mocy obowiązujących przepisów prawa, np. organom publicznym</w:t>
      </w:r>
      <w:r w:rsidR="0094558C"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5584BE1B" w14:textId="77777777" w:rsidR="0094558C" w:rsidRPr="00C80673" w:rsidRDefault="0094558C" w:rsidP="00D34B16">
      <w:pPr>
        <w:pStyle w:val="Nagwek3"/>
        <w:keepLines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 xml:space="preserve">Prawa podmiotów danych </w:t>
      </w:r>
    </w:p>
    <w:p w14:paraId="1A1835CF" w14:textId="5ED54779" w:rsidR="0094558C" w:rsidRPr="00C80673" w:rsidRDefault="00081D71" w:rsidP="00D34B16">
      <w:pPr>
        <w:keepNext/>
        <w:keepLines/>
        <w:spacing w:after="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Osobom fizycznym, których dane osobowe przetwarza administrator, przysługuje</w:t>
      </w:r>
      <w:r w:rsidR="0094558C" w:rsidRPr="00C80673">
        <w:rPr>
          <w:rFonts w:eastAsia="Calibri" w:cs="Calibri"/>
          <w:color w:val="53555A"/>
          <w:sz w:val="24"/>
          <w:szCs w:val="24"/>
          <w:lang w:eastAsia="pl-PL"/>
        </w:rPr>
        <w:t>:</w:t>
      </w:r>
    </w:p>
    <w:p w14:paraId="2DD4FEEC" w14:textId="77777777" w:rsidR="0094558C" w:rsidRPr="00C80673" w:rsidRDefault="0094558C" w:rsidP="00BD62E7">
      <w:pPr>
        <w:keepNext/>
        <w:keepLines/>
        <w:numPr>
          <w:ilvl w:val="0"/>
          <w:numId w:val="1"/>
        </w:numPr>
        <w:spacing w:before="120" w:after="120" w:line="30" w:lineRule="atLeast"/>
        <w:ind w:left="357" w:hanging="357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na podstawie art. 15 RODO – prawo dostępu do danych osobowych i uzyskania ich kopii;</w:t>
      </w:r>
    </w:p>
    <w:p w14:paraId="5F446A77" w14:textId="087F11DD" w:rsidR="0094558C" w:rsidRPr="00C80673" w:rsidRDefault="0094558C" w:rsidP="00BD62E7">
      <w:pPr>
        <w:keepLines/>
        <w:numPr>
          <w:ilvl w:val="0"/>
          <w:numId w:val="1"/>
        </w:numPr>
        <w:spacing w:before="120" w:after="120" w:line="30" w:lineRule="atLeast"/>
        <w:ind w:left="357" w:hanging="357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na podstawie art. 16 RODO – prawo do sprostowania i uzupełnienia danych osobowych</w:t>
      </w:r>
      <w:r w:rsidR="00976E37" w:rsidRPr="00C80673">
        <w:rPr>
          <w:rFonts w:eastAsia="Calibri" w:cs="Calibri"/>
          <w:color w:val="53555A"/>
          <w:sz w:val="24"/>
          <w:szCs w:val="24"/>
          <w:lang w:eastAsia="pl-PL"/>
        </w:rPr>
        <w:t>, z zastrzeżeniem, że skorzystania z tego prawa nie może naruszać integralności protokołu Postępowania oraz jego załączników oraz nie może skutkować zmianą wyniku Postępowania ani zmianą postanowień umowy w sprawie zamówienia publicznego w zakresie niezgodnym z</w:t>
      </w:r>
      <w:r w:rsidR="00167989" w:rsidRPr="00C80673">
        <w:rPr>
          <w:rFonts w:eastAsia="Calibri" w:cs="Calibri"/>
          <w:color w:val="53555A"/>
          <w:sz w:val="24"/>
          <w:szCs w:val="24"/>
          <w:lang w:eastAsia="pl-PL"/>
        </w:rPr>
        <w:t> </w:t>
      </w:r>
      <w:r w:rsidR="00976E37" w:rsidRPr="00C80673">
        <w:rPr>
          <w:rFonts w:eastAsia="Calibri" w:cs="Calibri"/>
          <w:color w:val="53555A"/>
          <w:sz w:val="24"/>
          <w:szCs w:val="24"/>
          <w:lang w:eastAsia="pl-PL"/>
        </w:rPr>
        <w:t>ustawą Pzp;</w:t>
      </w:r>
    </w:p>
    <w:p w14:paraId="5EB5430D" w14:textId="77777777" w:rsidR="0094558C" w:rsidRPr="00C80673" w:rsidRDefault="0094558C" w:rsidP="00BD62E7">
      <w:pPr>
        <w:keepLines/>
        <w:numPr>
          <w:ilvl w:val="0"/>
          <w:numId w:val="1"/>
        </w:numPr>
        <w:spacing w:before="120" w:after="120" w:line="30" w:lineRule="atLeast"/>
        <w:ind w:left="357" w:hanging="357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na podstawie art. 17 RODO – prawo do usunięcia danych osobowych;</w:t>
      </w:r>
    </w:p>
    <w:p w14:paraId="6ADA322C" w14:textId="39A8B3A6" w:rsidR="0094558C" w:rsidRPr="00C80673" w:rsidRDefault="0094558C" w:rsidP="00BD62E7">
      <w:pPr>
        <w:keepLines/>
        <w:numPr>
          <w:ilvl w:val="0"/>
          <w:numId w:val="1"/>
        </w:numPr>
        <w:spacing w:before="120" w:after="120" w:line="30" w:lineRule="atLeast"/>
        <w:ind w:left="357" w:hanging="357"/>
        <w:contextualSpacing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na podstawie art. 18 RODO – prawo żądania od administratora ograniczenia przetwarzania danych</w:t>
      </w:r>
      <w:r w:rsidR="0045373A" w:rsidRPr="00C80673">
        <w:rPr>
          <w:sz w:val="24"/>
          <w:szCs w:val="24"/>
        </w:rPr>
        <w:t xml:space="preserve"> </w:t>
      </w:r>
      <w:r w:rsidR="0045373A" w:rsidRPr="00C80673">
        <w:rPr>
          <w:rFonts w:eastAsia="Calibri" w:cs="Calibri"/>
          <w:color w:val="53555A"/>
          <w:sz w:val="24"/>
          <w:szCs w:val="24"/>
          <w:lang w:eastAsia="pl-PL"/>
        </w:rPr>
        <w:t>z tym zastrzeżeniem, że zgłoszenie tego żądania nie ogranicza przetwarzania danych osobowych do czasu zakończenia postępowania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.</w:t>
      </w:r>
    </w:p>
    <w:p w14:paraId="459B8534" w14:textId="77777777" w:rsidR="0094558C" w:rsidRPr="00C80673" w:rsidRDefault="0094558C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Prawo wniesienia skargi do organu nadzorczego</w:t>
      </w:r>
    </w:p>
    <w:p w14:paraId="7A51FE0B" w14:textId="12DED2C2" w:rsidR="0094558C" w:rsidRPr="00C80673" w:rsidRDefault="0045373A" w:rsidP="00D34B16">
      <w:pPr>
        <w:keepNext/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Osobom fizycznym</w:t>
      </w:r>
      <w:r w:rsidR="008256E3" w:rsidRPr="00C80673">
        <w:rPr>
          <w:rFonts w:eastAsia="Calibri" w:cs="Calibri"/>
          <w:color w:val="53555A"/>
          <w:sz w:val="24"/>
          <w:szCs w:val="24"/>
          <w:lang w:eastAsia="pl-PL"/>
        </w:rPr>
        <w:t>, których dane osobowe przetwarza administrator p</w:t>
      </w:r>
      <w:r w:rsidR="0094558C" w:rsidRPr="00C80673">
        <w:rPr>
          <w:rFonts w:eastAsia="Calibri" w:cs="Calibri"/>
          <w:color w:val="53555A"/>
          <w:sz w:val="24"/>
          <w:szCs w:val="24"/>
          <w:lang w:eastAsia="pl-PL"/>
        </w:rPr>
        <w:t>rzysługuje prawo wniesienia skargi do organu nadzorczego, tj. Prezesa Urzędu Ochrony Danych Osobowych, ul. Stawki 2, 00 - 193 Warszawa, na niezgodne z prawem przetwarzanie danych osobowych przez administratora.</w:t>
      </w:r>
    </w:p>
    <w:p w14:paraId="368BEA40" w14:textId="77777777" w:rsidR="0094558C" w:rsidRPr="00C80673" w:rsidRDefault="0094558C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Informacja o dowolności lub obowiązku podania danych oraz o ewentualnych konsekwencjach niepodania danych.</w:t>
      </w:r>
    </w:p>
    <w:p w14:paraId="30A675A3" w14:textId="77777777" w:rsidR="0094558C" w:rsidRPr="00C80673" w:rsidRDefault="0094558C" w:rsidP="00D34B16">
      <w:pPr>
        <w:spacing w:after="120" w:line="30" w:lineRule="atLeast"/>
        <w:rPr>
          <w:rFonts w:eastAsia="Calibri"/>
          <w:color w:val="53555A"/>
          <w:sz w:val="24"/>
          <w:szCs w:val="24"/>
          <w:lang w:eastAsia="pl-PL"/>
        </w:rPr>
      </w:pPr>
      <w:r w:rsidRPr="00C80673">
        <w:rPr>
          <w:rFonts w:eastAsia="Calibri"/>
          <w:color w:val="53555A"/>
          <w:sz w:val="24"/>
          <w:szCs w:val="24"/>
          <w:lang w:eastAsia="pl-PL"/>
        </w:rPr>
        <w:t>Podanie danych osobowych jest dobrowolne, jednak stanowi warunek umożliwiający udział w Zapytaniu ofertowym.</w:t>
      </w:r>
    </w:p>
    <w:p w14:paraId="7CFBC6A0" w14:textId="77777777" w:rsidR="0094558C" w:rsidRPr="00C80673" w:rsidRDefault="0094558C" w:rsidP="00D34B16">
      <w:pPr>
        <w:pStyle w:val="Nagwek3"/>
        <w:spacing w:line="30" w:lineRule="atLeast"/>
        <w:rPr>
          <w:rFonts w:eastAsia="Calibri"/>
          <w:color w:val="53555A"/>
          <w:lang w:eastAsia="pl-PL"/>
        </w:rPr>
      </w:pPr>
      <w:r w:rsidRPr="00C80673">
        <w:rPr>
          <w:rFonts w:eastAsia="Calibri"/>
          <w:color w:val="53555A"/>
          <w:lang w:eastAsia="pl-PL"/>
        </w:rPr>
        <w:t>Informacja o zautomatyzowanym podejmowaniu decyzji.</w:t>
      </w:r>
    </w:p>
    <w:p w14:paraId="61FFF537" w14:textId="76942B28" w:rsidR="0094558C" w:rsidRPr="00C80673" w:rsidRDefault="0094558C" w:rsidP="00D34B16">
      <w:pPr>
        <w:spacing w:after="12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>Decyzje podejmowane przez administratora nie będą opierały się wyłącznie na  zautomatyzowanym przetwarzaniu.</w:t>
      </w:r>
    </w:p>
    <w:p w14:paraId="336F1A05" w14:textId="241513F9" w:rsidR="0094558C" w:rsidRPr="00C80673" w:rsidRDefault="0094558C" w:rsidP="00B37686">
      <w:pPr>
        <w:pStyle w:val="Nagwek2"/>
        <w:rPr>
          <w:rFonts w:eastAsiaTheme="majorEastAsia" w:cstheme="minorHAnsi"/>
        </w:rPr>
      </w:pPr>
      <w:r w:rsidRPr="00C80673">
        <w:t>Postanowienia końcowe:</w:t>
      </w:r>
    </w:p>
    <w:p w14:paraId="4845FFE4" w14:textId="77777777" w:rsidR="0094558C" w:rsidRPr="00C80673" w:rsidRDefault="0094558C" w:rsidP="00BD62E7">
      <w:pPr>
        <w:keepNext/>
        <w:keepLines/>
        <w:numPr>
          <w:ilvl w:val="1"/>
          <w:numId w:val="2"/>
        </w:numPr>
        <w:spacing w:before="120" w:after="120" w:line="30" w:lineRule="atLeast"/>
        <w:ind w:left="454" w:hanging="454"/>
        <w:contextualSpacing/>
        <w:rPr>
          <w:rFonts w:eastAsia="Calibri" w:cstheme="minorHAnsi"/>
          <w:color w:val="53555A"/>
          <w:sz w:val="24"/>
          <w:szCs w:val="24"/>
          <w:lang w:eastAsia="pl-PL"/>
        </w:rPr>
      </w:pP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Zapytanie Ofertowe nie stanowi oferty w rozumieniu art. 66 Kodeksu cywilnego.</w:t>
      </w:r>
    </w:p>
    <w:p w14:paraId="4076B202" w14:textId="34ECA58B" w:rsidR="0094558C" w:rsidRPr="00C80673" w:rsidRDefault="0094558C" w:rsidP="00BD62E7">
      <w:pPr>
        <w:keepNext/>
        <w:keepLines/>
        <w:numPr>
          <w:ilvl w:val="1"/>
          <w:numId w:val="2"/>
        </w:numPr>
        <w:spacing w:before="120" w:after="120" w:line="30" w:lineRule="atLeast"/>
        <w:ind w:left="454" w:hanging="454"/>
        <w:contextualSpacing/>
        <w:rPr>
          <w:rFonts w:eastAsia="Calibri" w:cstheme="minorHAnsi"/>
          <w:color w:val="53555A"/>
          <w:sz w:val="24"/>
          <w:szCs w:val="24"/>
          <w:lang w:eastAsia="pl-PL"/>
        </w:rPr>
      </w:pP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Zamawiający zastrzega sobie prawo negocjacji ceny ofert z Wykonawcami którzy złożyli w</w:t>
      </w:r>
      <w:r w:rsidR="00857354" w:rsidRPr="00C80673">
        <w:rPr>
          <w:rFonts w:eastAsia="Calibri" w:cstheme="minorHAnsi"/>
          <w:color w:val="53555A"/>
          <w:sz w:val="24"/>
          <w:szCs w:val="24"/>
          <w:lang w:eastAsia="pl-PL"/>
        </w:rPr>
        <w:t> </w:t>
      </w: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terminie prawidłowe oferty.</w:t>
      </w:r>
    </w:p>
    <w:p w14:paraId="308A3064" w14:textId="5DB05B9C" w:rsidR="001C0B54" w:rsidRPr="00C80673" w:rsidRDefault="0094558C" w:rsidP="00BD62E7">
      <w:pPr>
        <w:numPr>
          <w:ilvl w:val="1"/>
          <w:numId w:val="2"/>
        </w:numPr>
        <w:spacing w:before="120" w:after="120" w:line="30" w:lineRule="atLeast"/>
        <w:ind w:left="454" w:hanging="454"/>
        <w:contextualSpacing/>
        <w:rPr>
          <w:rFonts w:eastAsia="Calibri" w:cstheme="minorHAnsi"/>
          <w:color w:val="53555A"/>
          <w:sz w:val="24"/>
          <w:szCs w:val="24"/>
          <w:lang w:eastAsia="pl-PL"/>
        </w:rPr>
      </w:pP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Zamawiający zastrzega sobie prawo unieważnienia przedmiotowego postępowania na każdym etapie bez podania przyczyny unieważnienia.</w:t>
      </w:r>
    </w:p>
    <w:p w14:paraId="2497CAF3" w14:textId="140E954D" w:rsidR="0094558C" w:rsidRPr="00C80673" w:rsidRDefault="0094558C" w:rsidP="00BD62E7">
      <w:pPr>
        <w:numPr>
          <w:ilvl w:val="1"/>
          <w:numId w:val="2"/>
        </w:numPr>
        <w:spacing w:before="120" w:after="120" w:line="30" w:lineRule="atLeast"/>
        <w:ind w:left="454" w:hanging="454"/>
        <w:contextualSpacing/>
        <w:rPr>
          <w:rFonts w:eastAsia="Calibri" w:cstheme="minorHAnsi"/>
          <w:color w:val="53555A"/>
          <w:sz w:val="24"/>
          <w:szCs w:val="24"/>
          <w:lang w:eastAsia="pl-PL"/>
        </w:rPr>
      </w:pP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W przypadku unieważnienia postępowania Zamawiający nie ponosi kosztów przygotowania i</w:t>
      </w:r>
      <w:r w:rsidR="00230CF6" w:rsidRPr="00C80673">
        <w:rPr>
          <w:rFonts w:eastAsia="Calibri" w:cstheme="minorHAnsi"/>
          <w:color w:val="53555A"/>
          <w:sz w:val="24"/>
          <w:szCs w:val="24"/>
          <w:lang w:eastAsia="pl-PL"/>
        </w:rPr>
        <w:t> </w:t>
      </w: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złożenia oferty.</w:t>
      </w:r>
    </w:p>
    <w:p w14:paraId="6E51860B" w14:textId="77777777" w:rsidR="0094558C" w:rsidRPr="00C80673" w:rsidRDefault="0094558C" w:rsidP="00BD62E7">
      <w:pPr>
        <w:numPr>
          <w:ilvl w:val="1"/>
          <w:numId w:val="2"/>
        </w:numPr>
        <w:spacing w:before="120" w:after="120" w:line="30" w:lineRule="atLeast"/>
        <w:ind w:left="454" w:hanging="454"/>
        <w:contextualSpacing/>
        <w:rPr>
          <w:rFonts w:eastAsia="Calibri" w:cstheme="minorHAnsi"/>
          <w:color w:val="53555A"/>
          <w:sz w:val="24"/>
          <w:szCs w:val="24"/>
          <w:lang w:eastAsia="pl-PL"/>
        </w:rPr>
      </w:pPr>
      <w:r w:rsidRPr="00C80673">
        <w:rPr>
          <w:rFonts w:eastAsia="Calibri" w:cstheme="minorHAnsi"/>
          <w:color w:val="53555A"/>
          <w:sz w:val="24"/>
          <w:szCs w:val="24"/>
          <w:lang w:eastAsia="pl-PL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489055EC" w14:textId="5AEFA1D1" w:rsidR="0094558C" w:rsidRPr="00C80673" w:rsidRDefault="0094558C" w:rsidP="00B37686">
      <w:pPr>
        <w:pStyle w:val="Nagwek2"/>
        <w:rPr>
          <w:rFonts w:asciiTheme="minorHAnsi" w:hAnsiTheme="minorHAnsi"/>
          <w:u w:val="single"/>
        </w:rPr>
      </w:pPr>
      <w:r w:rsidRPr="00C80673">
        <w:rPr>
          <w:rStyle w:val="Nagwek2Znak"/>
          <w:szCs w:val="24"/>
        </w:rPr>
        <w:t>Załącznik</w:t>
      </w:r>
      <w:r w:rsidR="00E21B41" w:rsidRPr="00C80673">
        <w:rPr>
          <w:rStyle w:val="Nagwek2Znak"/>
          <w:szCs w:val="24"/>
        </w:rPr>
        <w:t>i:</w:t>
      </w:r>
    </w:p>
    <w:p w14:paraId="3908D8A4" w14:textId="3F38C306" w:rsidR="00BD62E7" w:rsidRPr="00BD62E7" w:rsidRDefault="0094558C" w:rsidP="00BD62E7">
      <w:pPr>
        <w:tabs>
          <w:tab w:val="left" w:pos="2320"/>
        </w:tabs>
        <w:spacing w:after="1080" w:line="30" w:lineRule="atLeast"/>
        <w:rPr>
          <w:rFonts w:eastAsia="Calibri" w:cs="Calibri"/>
          <w:color w:val="53555A"/>
          <w:sz w:val="24"/>
          <w:szCs w:val="24"/>
          <w:lang w:eastAsia="pl-PL"/>
        </w:rPr>
      </w:pP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Załącznik nr </w:t>
      </w:r>
      <w:r w:rsidR="00E61D35">
        <w:rPr>
          <w:rFonts w:eastAsia="Calibri" w:cs="Calibri"/>
          <w:color w:val="53555A"/>
          <w:sz w:val="24"/>
          <w:szCs w:val="24"/>
          <w:lang w:eastAsia="pl-PL"/>
        </w:rPr>
        <w:t>1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 xml:space="preserve"> </w:t>
      </w:r>
      <w:r w:rsidR="00BD62E7">
        <w:rPr>
          <w:rFonts w:eastAsia="Calibri" w:cs="Calibri"/>
          <w:color w:val="53555A"/>
          <w:sz w:val="24"/>
          <w:szCs w:val="24"/>
          <w:lang w:eastAsia="pl-PL"/>
        </w:rPr>
        <w:t xml:space="preserve">_ </w:t>
      </w:r>
      <w:r w:rsidRPr="00C80673">
        <w:rPr>
          <w:rFonts w:eastAsia="Calibri" w:cs="Calibri"/>
          <w:color w:val="53555A"/>
          <w:sz w:val="24"/>
          <w:szCs w:val="24"/>
          <w:lang w:eastAsia="pl-PL"/>
        </w:rPr>
        <w:t>Formularz ofertowy.</w:t>
      </w:r>
    </w:p>
    <w:sectPr w:rsidR="00BD62E7" w:rsidRPr="00BD62E7" w:rsidSect="006E6136">
      <w:footerReference w:type="default" r:id="rId21"/>
      <w:headerReference w:type="first" r:id="rId22"/>
      <w:footerReference w:type="first" r:id="rId23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25CE9" w14:textId="77777777" w:rsidR="00697131" w:rsidRDefault="00697131">
      <w:pPr>
        <w:spacing w:after="0" w:line="240" w:lineRule="auto"/>
      </w:pPr>
      <w:r>
        <w:separator/>
      </w:r>
    </w:p>
  </w:endnote>
  <w:endnote w:type="continuationSeparator" w:id="0">
    <w:p w14:paraId="1DE64AE1" w14:textId="77777777" w:rsidR="00697131" w:rsidRDefault="00697131">
      <w:pPr>
        <w:spacing w:after="0" w:line="240" w:lineRule="auto"/>
      </w:pPr>
      <w:r>
        <w:continuationSeparator/>
      </w:r>
    </w:p>
  </w:endnote>
  <w:endnote w:type="continuationNotice" w:id="1">
    <w:p w14:paraId="169322A2" w14:textId="77777777" w:rsidR="00697131" w:rsidRDefault="00697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2B40" w14:textId="77777777" w:rsidR="008542F6" w:rsidRDefault="008542F6">
    <w:pPr>
      <w:pStyle w:val="Stopka"/>
    </w:pPr>
    <w:r>
      <w:rPr>
        <w:noProof/>
      </w:rPr>
      <w:drawing>
        <wp:anchor distT="0" distB="0" distL="114300" distR="114300" simplePos="0" relativeHeight="251670016" behindDoc="1" locked="0" layoutInCell="1" allowOverlap="1" wp14:anchorId="31E9569A" wp14:editId="5FAC0E90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6" name="Obraz 6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4F1C7" w14:textId="39F2C83C" w:rsidR="00385997" w:rsidRDefault="00385997">
    <w:pPr>
      <w:pStyle w:val="Stopka"/>
    </w:pPr>
    <w:r w:rsidRPr="00385997">
      <w:rPr>
        <w:noProof/>
      </w:rPr>
      <w:drawing>
        <wp:anchor distT="0" distB="0" distL="114300" distR="114300" simplePos="0" relativeHeight="251674112" behindDoc="0" locked="0" layoutInCell="1" allowOverlap="1" wp14:anchorId="26F85C53" wp14:editId="20FAB625">
          <wp:simplePos x="0" y="0"/>
          <wp:positionH relativeFrom="column">
            <wp:posOffset>2105025</wp:posOffset>
          </wp:positionH>
          <wp:positionV relativeFrom="paragraph">
            <wp:posOffset>171450</wp:posOffset>
          </wp:positionV>
          <wp:extent cx="1524000" cy="533400"/>
          <wp:effectExtent l="0" t="0" r="0" b="0"/>
          <wp:wrapSquare wrapText="bothSides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5997">
      <w:rPr>
        <w:noProof/>
      </w:rPr>
      <w:drawing>
        <wp:anchor distT="0" distB="0" distL="114300" distR="114300" simplePos="0" relativeHeight="251675136" behindDoc="1" locked="0" layoutInCell="1" allowOverlap="1" wp14:anchorId="4D2A62B0" wp14:editId="6E18CB15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2" name="Obraz 1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85997">
      <w:rPr>
        <w:noProof/>
      </w:rPr>
      <w:drawing>
        <wp:anchor distT="0" distB="0" distL="114300" distR="114300" simplePos="0" relativeHeight="251676160" behindDoc="1" locked="0" layoutInCell="1" allowOverlap="1" wp14:anchorId="4833D9F7" wp14:editId="083DC3F5">
          <wp:simplePos x="0" y="0"/>
          <wp:positionH relativeFrom="column">
            <wp:posOffset>4514850</wp:posOffset>
          </wp:positionH>
          <wp:positionV relativeFrom="paragraph">
            <wp:posOffset>206375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Lider:                                                                   Partnerzy: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CFBC" w14:textId="001F54F3" w:rsidR="0079581E" w:rsidRDefault="008C6A59">
    <w:pPr>
      <w:pStyle w:val="Stopka"/>
    </w:pPr>
    <w:r w:rsidRPr="008C6A59">
      <w:rPr>
        <w:noProof/>
      </w:rPr>
      <w:drawing>
        <wp:anchor distT="0" distB="0" distL="114300" distR="114300" simplePos="0" relativeHeight="251680256" behindDoc="0" locked="0" layoutInCell="1" allowOverlap="1" wp14:anchorId="5F417E0B" wp14:editId="6E8D5C50">
          <wp:simplePos x="0" y="0"/>
          <wp:positionH relativeFrom="column">
            <wp:posOffset>2105025</wp:posOffset>
          </wp:positionH>
          <wp:positionV relativeFrom="paragraph">
            <wp:posOffset>171450</wp:posOffset>
          </wp:positionV>
          <wp:extent cx="1524000" cy="533400"/>
          <wp:effectExtent l="0" t="0" r="0" b="0"/>
          <wp:wrapSquare wrapText="bothSides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6A59">
      <w:rPr>
        <w:noProof/>
      </w:rPr>
      <w:drawing>
        <wp:anchor distT="0" distB="0" distL="114300" distR="114300" simplePos="0" relativeHeight="251681280" behindDoc="1" locked="0" layoutInCell="1" allowOverlap="1" wp14:anchorId="401B4D9E" wp14:editId="727D773E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C6A59">
      <w:rPr>
        <w:noProof/>
      </w:rPr>
      <w:drawing>
        <wp:anchor distT="0" distB="0" distL="114300" distR="114300" simplePos="0" relativeHeight="251682304" behindDoc="1" locked="0" layoutInCell="1" allowOverlap="1" wp14:anchorId="5254855A" wp14:editId="0F8CA30B">
          <wp:simplePos x="0" y="0"/>
          <wp:positionH relativeFrom="column">
            <wp:posOffset>4514850</wp:posOffset>
          </wp:positionH>
          <wp:positionV relativeFrom="paragraph">
            <wp:posOffset>206375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Lider:                                                              Partnerzy: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338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8D1C8CD" wp14:editId="5311476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8DB4" w14:textId="77777777" w:rsidR="00697131" w:rsidRDefault="006971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BBA7C5" w14:textId="77777777" w:rsidR="00697131" w:rsidRDefault="00697131">
      <w:pPr>
        <w:spacing w:after="0" w:line="240" w:lineRule="auto"/>
      </w:pPr>
      <w:r>
        <w:continuationSeparator/>
      </w:r>
    </w:p>
  </w:footnote>
  <w:footnote w:type="continuationNotice" w:id="1">
    <w:p w14:paraId="73349A69" w14:textId="77777777" w:rsidR="00697131" w:rsidRDefault="006971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C621" w14:textId="6C8FE2D3" w:rsidR="002400FD" w:rsidRPr="002400FD" w:rsidRDefault="008C6A59" w:rsidP="002400FD">
    <w:pPr>
      <w:pStyle w:val="Nagwek"/>
      <w:jc w:val="center"/>
    </w:pPr>
    <w:r>
      <w:rPr>
        <w:noProof/>
      </w:rPr>
      <w:drawing>
        <wp:anchor distT="0" distB="0" distL="114300" distR="114300" simplePos="0" relativeHeight="251678208" behindDoc="1" locked="0" layoutInCell="1" allowOverlap="1" wp14:anchorId="66FD9BDB" wp14:editId="221BD686">
          <wp:simplePos x="0" y="0"/>
          <wp:positionH relativeFrom="margin">
            <wp:align>left</wp:align>
          </wp:positionH>
          <wp:positionV relativeFrom="paragraph">
            <wp:posOffset>-505460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1DD1" w14:textId="3575DC65" w:rsidR="00FD3630" w:rsidRDefault="00FD3630" w:rsidP="002400FD">
    <w:pPr>
      <w:pStyle w:val="Podstawowyakapitowy"/>
      <w:spacing w:before="20" w:line="240" w:lineRule="auto"/>
      <w:jc w:val="center"/>
      <w:rPr>
        <w:noProof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5C488CDF" wp14:editId="0594D68D">
          <wp:simplePos x="0" y="0"/>
          <wp:positionH relativeFrom="margin">
            <wp:align>center</wp:align>
          </wp:positionH>
          <wp:positionV relativeFrom="paragraph">
            <wp:posOffset>-547370</wp:posOffset>
          </wp:positionV>
          <wp:extent cx="5315585" cy="676910"/>
          <wp:effectExtent l="0" t="0" r="0" b="8890"/>
          <wp:wrapNone/>
          <wp:docPr id="10" name="Obraz 10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3A4A8" w14:textId="77777777" w:rsidR="00FD3630" w:rsidRPr="00FD3630" w:rsidRDefault="00FD3630" w:rsidP="00FD3630">
    <w:pPr>
      <w:pBdr>
        <w:bottom w:val="single" w:sz="6" w:space="1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i/>
        <w:sz w:val="2"/>
        <w:szCs w:val="2"/>
      </w:rPr>
    </w:pPr>
    <w:bookmarkStart w:id="0" w:name="_Hlk73955993"/>
    <w:r w:rsidRPr="00FD3630">
      <w:rPr>
        <w:i/>
      </w:rPr>
      <w:t>Ośrodek Wsparcia Architektury Dostępnej (OWDA) - kompleksowe usługi w zakresie dostępności architektonicznej dla podmiotów publicznych</w:t>
    </w:r>
  </w:p>
  <w:bookmarkEnd w:id="0"/>
  <w:p w14:paraId="1C7090AF" w14:textId="77777777" w:rsidR="00FD3630" w:rsidRPr="00FD3630" w:rsidRDefault="00FD3630" w:rsidP="00FD3630">
    <w:pPr>
      <w:tabs>
        <w:tab w:val="center" w:pos="4536"/>
        <w:tab w:val="right" w:pos="9072"/>
      </w:tabs>
      <w:suppressAutoHyphens/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9AF8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56296F" wp14:editId="3A80588C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6A4"/>
    <w:multiLevelType w:val="hybridMultilevel"/>
    <w:tmpl w:val="FFFFFFFF"/>
    <w:lvl w:ilvl="0" w:tplc="DAB011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B78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44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E7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7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02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7EA4"/>
    <w:multiLevelType w:val="multilevel"/>
    <w:tmpl w:val="FFD0773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167403"/>
    <w:multiLevelType w:val="multilevel"/>
    <w:tmpl w:val="F7E25AB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CC5C1D"/>
    <w:multiLevelType w:val="multilevel"/>
    <w:tmpl w:val="FEFEE07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66C733AC"/>
    <w:multiLevelType w:val="multilevel"/>
    <w:tmpl w:val="1F38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  <w:sz w:val="24"/>
      </w:rPr>
    </w:lvl>
  </w:abstractNum>
  <w:abstractNum w:abstractNumId="5" w15:restartNumberingAfterBreak="0">
    <w:nsid w:val="773B7463"/>
    <w:multiLevelType w:val="hybridMultilevel"/>
    <w:tmpl w:val="9340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F6"/>
    <w:rsid w:val="00033272"/>
    <w:rsid w:val="000477B4"/>
    <w:rsid w:val="00050604"/>
    <w:rsid w:val="00053CA8"/>
    <w:rsid w:val="000545D0"/>
    <w:rsid w:val="0006113B"/>
    <w:rsid w:val="00072BDC"/>
    <w:rsid w:val="000772F6"/>
    <w:rsid w:val="00077316"/>
    <w:rsid w:val="00081D71"/>
    <w:rsid w:val="00091E7E"/>
    <w:rsid w:val="00092842"/>
    <w:rsid w:val="000A34FB"/>
    <w:rsid w:val="000B09F4"/>
    <w:rsid w:val="000C0BEC"/>
    <w:rsid w:val="000C5884"/>
    <w:rsid w:val="000E1500"/>
    <w:rsid w:val="00122643"/>
    <w:rsid w:val="001229DC"/>
    <w:rsid w:val="00132623"/>
    <w:rsid w:val="001350F2"/>
    <w:rsid w:val="001370CF"/>
    <w:rsid w:val="0014029D"/>
    <w:rsid w:val="00161E95"/>
    <w:rsid w:val="00163201"/>
    <w:rsid w:val="00167989"/>
    <w:rsid w:val="00181C6F"/>
    <w:rsid w:val="0018202C"/>
    <w:rsid w:val="001908E3"/>
    <w:rsid w:val="0019354E"/>
    <w:rsid w:val="001967D1"/>
    <w:rsid w:val="0019727F"/>
    <w:rsid w:val="001A7E1B"/>
    <w:rsid w:val="001C0B54"/>
    <w:rsid w:val="001C224A"/>
    <w:rsid w:val="001C3794"/>
    <w:rsid w:val="001C38EF"/>
    <w:rsid w:val="001E307B"/>
    <w:rsid w:val="001F28E4"/>
    <w:rsid w:val="001F45BA"/>
    <w:rsid w:val="001F58CA"/>
    <w:rsid w:val="001F70C8"/>
    <w:rsid w:val="00210B7D"/>
    <w:rsid w:val="00223BE5"/>
    <w:rsid w:val="00230CF6"/>
    <w:rsid w:val="002400FD"/>
    <w:rsid w:val="0024196B"/>
    <w:rsid w:val="002461E7"/>
    <w:rsid w:val="00246250"/>
    <w:rsid w:val="00250914"/>
    <w:rsid w:val="00250CF3"/>
    <w:rsid w:val="00261078"/>
    <w:rsid w:val="00262640"/>
    <w:rsid w:val="00265742"/>
    <w:rsid w:val="00276B06"/>
    <w:rsid w:val="002A0080"/>
    <w:rsid w:val="002A3319"/>
    <w:rsid w:val="002B13AC"/>
    <w:rsid w:val="002C413B"/>
    <w:rsid w:val="002D232C"/>
    <w:rsid w:val="002D2710"/>
    <w:rsid w:val="002F7B2B"/>
    <w:rsid w:val="00305106"/>
    <w:rsid w:val="003060F6"/>
    <w:rsid w:val="00310B4A"/>
    <w:rsid w:val="003145D5"/>
    <w:rsid w:val="0032268E"/>
    <w:rsid w:val="00323140"/>
    <w:rsid w:val="00324541"/>
    <w:rsid w:val="0033668A"/>
    <w:rsid w:val="00337FD2"/>
    <w:rsid w:val="00342BCC"/>
    <w:rsid w:val="0034321A"/>
    <w:rsid w:val="003436A6"/>
    <w:rsid w:val="00354562"/>
    <w:rsid w:val="00357D2D"/>
    <w:rsid w:val="0037717D"/>
    <w:rsid w:val="00383261"/>
    <w:rsid w:val="00385997"/>
    <w:rsid w:val="00386D02"/>
    <w:rsid w:val="0038799B"/>
    <w:rsid w:val="00387E8F"/>
    <w:rsid w:val="00397B34"/>
    <w:rsid w:val="003A15BA"/>
    <w:rsid w:val="003A1C0A"/>
    <w:rsid w:val="003A6846"/>
    <w:rsid w:val="003B1924"/>
    <w:rsid w:val="003B48DF"/>
    <w:rsid w:val="003B68DC"/>
    <w:rsid w:val="003C5F68"/>
    <w:rsid w:val="003D4AC0"/>
    <w:rsid w:val="003D5327"/>
    <w:rsid w:val="003E2C99"/>
    <w:rsid w:val="003E5740"/>
    <w:rsid w:val="003E5F06"/>
    <w:rsid w:val="0041072C"/>
    <w:rsid w:val="0041224A"/>
    <w:rsid w:val="004124EF"/>
    <w:rsid w:val="004202AC"/>
    <w:rsid w:val="0043376A"/>
    <w:rsid w:val="00435AA8"/>
    <w:rsid w:val="0045373A"/>
    <w:rsid w:val="00454EFE"/>
    <w:rsid w:val="0049598F"/>
    <w:rsid w:val="004A230F"/>
    <w:rsid w:val="004A4171"/>
    <w:rsid w:val="004A482B"/>
    <w:rsid w:val="004B555D"/>
    <w:rsid w:val="004D38DC"/>
    <w:rsid w:val="004D7961"/>
    <w:rsid w:val="004F0C09"/>
    <w:rsid w:val="00502415"/>
    <w:rsid w:val="0050527B"/>
    <w:rsid w:val="005070F0"/>
    <w:rsid w:val="00521308"/>
    <w:rsid w:val="00536000"/>
    <w:rsid w:val="00542D99"/>
    <w:rsid w:val="00546DEE"/>
    <w:rsid w:val="00567151"/>
    <w:rsid w:val="00567974"/>
    <w:rsid w:val="005738A4"/>
    <w:rsid w:val="00584D3C"/>
    <w:rsid w:val="005934F9"/>
    <w:rsid w:val="005938A7"/>
    <w:rsid w:val="005B2E22"/>
    <w:rsid w:val="005B4445"/>
    <w:rsid w:val="005D0EB8"/>
    <w:rsid w:val="005E09D8"/>
    <w:rsid w:val="005F39A5"/>
    <w:rsid w:val="005F7322"/>
    <w:rsid w:val="006061FA"/>
    <w:rsid w:val="00614901"/>
    <w:rsid w:val="0062731B"/>
    <w:rsid w:val="00627E91"/>
    <w:rsid w:val="00630098"/>
    <w:rsid w:val="00633FB3"/>
    <w:rsid w:val="00642036"/>
    <w:rsid w:val="00644574"/>
    <w:rsid w:val="00645141"/>
    <w:rsid w:val="00645BEE"/>
    <w:rsid w:val="00645E76"/>
    <w:rsid w:val="0064647B"/>
    <w:rsid w:val="00665311"/>
    <w:rsid w:val="00666AA7"/>
    <w:rsid w:val="00666D85"/>
    <w:rsid w:val="006771E9"/>
    <w:rsid w:val="00697131"/>
    <w:rsid w:val="00697B1F"/>
    <w:rsid w:val="006A2857"/>
    <w:rsid w:val="006A310D"/>
    <w:rsid w:val="006B3880"/>
    <w:rsid w:val="006C2A81"/>
    <w:rsid w:val="006E60D7"/>
    <w:rsid w:val="006E6136"/>
    <w:rsid w:val="006F0B01"/>
    <w:rsid w:val="006F3289"/>
    <w:rsid w:val="006F527F"/>
    <w:rsid w:val="0070142F"/>
    <w:rsid w:val="007359A6"/>
    <w:rsid w:val="00760BE9"/>
    <w:rsid w:val="0077137E"/>
    <w:rsid w:val="007741D8"/>
    <w:rsid w:val="0079581E"/>
    <w:rsid w:val="007C0BE1"/>
    <w:rsid w:val="007C7ECE"/>
    <w:rsid w:val="007D1AA2"/>
    <w:rsid w:val="007D1C8E"/>
    <w:rsid w:val="007D2808"/>
    <w:rsid w:val="007E008B"/>
    <w:rsid w:val="007E2522"/>
    <w:rsid w:val="007E2C1D"/>
    <w:rsid w:val="007E3988"/>
    <w:rsid w:val="0080060F"/>
    <w:rsid w:val="00804B4E"/>
    <w:rsid w:val="00810B80"/>
    <w:rsid w:val="008202B0"/>
    <w:rsid w:val="008228BF"/>
    <w:rsid w:val="008256E3"/>
    <w:rsid w:val="00825AE5"/>
    <w:rsid w:val="00830050"/>
    <w:rsid w:val="00844E58"/>
    <w:rsid w:val="00850167"/>
    <w:rsid w:val="008542F6"/>
    <w:rsid w:val="008570FF"/>
    <w:rsid w:val="00857354"/>
    <w:rsid w:val="00866193"/>
    <w:rsid w:val="00874FD7"/>
    <w:rsid w:val="00882798"/>
    <w:rsid w:val="00894237"/>
    <w:rsid w:val="00894D9E"/>
    <w:rsid w:val="008C0DD2"/>
    <w:rsid w:val="008C39CF"/>
    <w:rsid w:val="008C46FC"/>
    <w:rsid w:val="008C6298"/>
    <w:rsid w:val="008C6A59"/>
    <w:rsid w:val="008D08BA"/>
    <w:rsid w:val="008D56C3"/>
    <w:rsid w:val="008F09E6"/>
    <w:rsid w:val="009045A5"/>
    <w:rsid w:val="0092417A"/>
    <w:rsid w:val="0092652F"/>
    <w:rsid w:val="009269D2"/>
    <w:rsid w:val="00926B8E"/>
    <w:rsid w:val="00932182"/>
    <w:rsid w:val="00935369"/>
    <w:rsid w:val="00945190"/>
    <w:rsid w:val="0094526F"/>
    <w:rsid w:val="0094558C"/>
    <w:rsid w:val="00946765"/>
    <w:rsid w:val="009571DE"/>
    <w:rsid w:val="0096105A"/>
    <w:rsid w:val="0096392F"/>
    <w:rsid w:val="00964CD0"/>
    <w:rsid w:val="009733F7"/>
    <w:rsid w:val="0097471C"/>
    <w:rsid w:val="00976E37"/>
    <w:rsid w:val="00992C75"/>
    <w:rsid w:val="009A2CE3"/>
    <w:rsid w:val="009A2FE8"/>
    <w:rsid w:val="009A5036"/>
    <w:rsid w:val="009B60BC"/>
    <w:rsid w:val="009C0E7F"/>
    <w:rsid w:val="009C638C"/>
    <w:rsid w:val="009D0ED7"/>
    <w:rsid w:val="009D44A8"/>
    <w:rsid w:val="009E2CAD"/>
    <w:rsid w:val="009E3A01"/>
    <w:rsid w:val="009E3B7E"/>
    <w:rsid w:val="009E3E8E"/>
    <w:rsid w:val="009E6EB3"/>
    <w:rsid w:val="009F14AD"/>
    <w:rsid w:val="009F220D"/>
    <w:rsid w:val="009F2DB6"/>
    <w:rsid w:val="00A10BF7"/>
    <w:rsid w:val="00A23326"/>
    <w:rsid w:val="00A24328"/>
    <w:rsid w:val="00A36A3C"/>
    <w:rsid w:val="00A45B62"/>
    <w:rsid w:val="00A5148A"/>
    <w:rsid w:val="00A51D0D"/>
    <w:rsid w:val="00A94D81"/>
    <w:rsid w:val="00AA1C80"/>
    <w:rsid w:val="00AA2691"/>
    <w:rsid w:val="00AB4ACB"/>
    <w:rsid w:val="00AC1539"/>
    <w:rsid w:val="00AC2E1D"/>
    <w:rsid w:val="00AC41A8"/>
    <w:rsid w:val="00AC6A34"/>
    <w:rsid w:val="00AD4482"/>
    <w:rsid w:val="00AE259D"/>
    <w:rsid w:val="00AE4934"/>
    <w:rsid w:val="00B04DF2"/>
    <w:rsid w:val="00B12F67"/>
    <w:rsid w:val="00B1792F"/>
    <w:rsid w:val="00B268C7"/>
    <w:rsid w:val="00B26F75"/>
    <w:rsid w:val="00B35AF2"/>
    <w:rsid w:val="00B37024"/>
    <w:rsid w:val="00B37686"/>
    <w:rsid w:val="00B57DE7"/>
    <w:rsid w:val="00B66B2F"/>
    <w:rsid w:val="00B71470"/>
    <w:rsid w:val="00B90A5A"/>
    <w:rsid w:val="00BD2BDD"/>
    <w:rsid w:val="00BD62E7"/>
    <w:rsid w:val="00BF4191"/>
    <w:rsid w:val="00BF5EBA"/>
    <w:rsid w:val="00C031DD"/>
    <w:rsid w:val="00C04F3D"/>
    <w:rsid w:val="00C22CEA"/>
    <w:rsid w:val="00C24796"/>
    <w:rsid w:val="00C2623E"/>
    <w:rsid w:val="00C2636C"/>
    <w:rsid w:val="00C30ED2"/>
    <w:rsid w:val="00C3543C"/>
    <w:rsid w:val="00C36032"/>
    <w:rsid w:val="00C53848"/>
    <w:rsid w:val="00C53C3A"/>
    <w:rsid w:val="00C70B72"/>
    <w:rsid w:val="00C72B8F"/>
    <w:rsid w:val="00C7361E"/>
    <w:rsid w:val="00C778D0"/>
    <w:rsid w:val="00C80673"/>
    <w:rsid w:val="00C82F44"/>
    <w:rsid w:val="00C83132"/>
    <w:rsid w:val="00C919B5"/>
    <w:rsid w:val="00C9439C"/>
    <w:rsid w:val="00C96FB1"/>
    <w:rsid w:val="00CA0B8A"/>
    <w:rsid w:val="00CA4812"/>
    <w:rsid w:val="00CB7711"/>
    <w:rsid w:val="00CC6726"/>
    <w:rsid w:val="00CD7572"/>
    <w:rsid w:val="00CE3AE2"/>
    <w:rsid w:val="00CE4458"/>
    <w:rsid w:val="00CE58E8"/>
    <w:rsid w:val="00CF31A1"/>
    <w:rsid w:val="00CF4C28"/>
    <w:rsid w:val="00D02731"/>
    <w:rsid w:val="00D07077"/>
    <w:rsid w:val="00D11934"/>
    <w:rsid w:val="00D11AFD"/>
    <w:rsid w:val="00D30B9A"/>
    <w:rsid w:val="00D319AD"/>
    <w:rsid w:val="00D34B16"/>
    <w:rsid w:val="00D34D9C"/>
    <w:rsid w:val="00D3551D"/>
    <w:rsid w:val="00D435F5"/>
    <w:rsid w:val="00D44CF7"/>
    <w:rsid w:val="00D45A2D"/>
    <w:rsid w:val="00D47A24"/>
    <w:rsid w:val="00D526F6"/>
    <w:rsid w:val="00D639E1"/>
    <w:rsid w:val="00D6570A"/>
    <w:rsid w:val="00D7035E"/>
    <w:rsid w:val="00D7396C"/>
    <w:rsid w:val="00D75B7A"/>
    <w:rsid w:val="00D91FCF"/>
    <w:rsid w:val="00D9647D"/>
    <w:rsid w:val="00DA79B0"/>
    <w:rsid w:val="00DB081B"/>
    <w:rsid w:val="00DE5D9B"/>
    <w:rsid w:val="00DE6963"/>
    <w:rsid w:val="00DF0878"/>
    <w:rsid w:val="00E01178"/>
    <w:rsid w:val="00E11F2D"/>
    <w:rsid w:val="00E207A0"/>
    <w:rsid w:val="00E207F0"/>
    <w:rsid w:val="00E21B41"/>
    <w:rsid w:val="00E302A6"/>
    <w:rsid w:val="00E441DC"/>
    <w:rsid w:val="00E61D35"/>
    <w:rsid w:val="00E623A9"/>
    <w:rsid w:val="00E70F1A"/>
    <w:rsid w:val="00E711E5"/>
    <w:rsid w:val="00E8315C"/>
    <w:rsid w:val="00E904A5"/>
    <w:rsid w:val="00EA5BC9"/>
    <w:rsid w:val="00EA6905"/>
    <w:rsid w:val="00EB4138"/>
    <w:rsid w:val="00EC5246"/>
    <w:rsid w:val="00EC7523"/>
    <w:rsid w:val="00ED1BB2"/>
    <w:rsid w:val="00EE2184"/>
    <w:rsid w:val="00EF2BFB"/>
    <w:rsid w:val="00EF2E31"/>
    <w:rsid w:val="00F015F4"/>
    <w:rsid w:val="00F02C05"/>
    <w:rsid w:val="00F12654"/>
    <w:rsid w:val="00F13A7F"/>
    <w:rsid w:val="00F21BFA"/>
    <w:rsid w:val="00F223FC"/>
    <w:rsid w:val="00F252CA"/>
    <w:rsid w:val="00F43CA8"/>
    <w:rsid w:val="00F50391"/>
    <w:rsid w:val="00F50922"/>
    <w:rsid w:val="00F60BE6"/>
    <w:rsid w:val="00F81FD3"/>
    <w:rsid w:val="00FA1C80"/>
    <w:rsid w:val="00FA2BE0"/>
    <w:rsid w:val="00FA6CB1"/>
    <w:rsid w:val="00FD0F17"/>
    <w:rsid w:val="00FD3630"/>
    <w:rsid w:val="00FD7B49"/>
    <w:rsid w:val="00FE500C"/>
    <w:rsid w:val="52684389"/>
    <w:rsid w:val="755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AC88E"/>
  <w15:docId w15:val="{8116F866-5241-4D0F-AEDB-C3D6A340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A2D"/>
    <w:pPr>
      <w:spacing w:before="1080" w:after="0"/>
      <w:contextualSpacing/>
      <w:outlineLvl w:val="0"/>
    </w:pPr>
    <w:rPr>
      <w:b/>
      <w:bCs/>
      <w:color w:val="53565A"/>
      <w:sz w:val="26"/>
      <w:szCs w:val="3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37686"/>
    <w:pPr>
      <w:keepNext/>
      <w:numPr>
        <w:numId w:val="4"/>
      </w:numPr>
      <w:spacing w:before="240" w:after="120" w:line="30" w:lineRule="atLeast"/>
      <w:ind w:left="284"/>
      <w:outlineLvl w:val="1"/>
    </w:pPr>
    <w:rPr>
      <w:rFonts w:eastAsia="Calibri"/>
      <w:b/>
      <w:bCs/>
      <w:color w:val="53555A"/>
      <w:sz w:val="24"/>
      <w:szCs w:val="26"/>
      <w:lang w:eastAsia="pl-PL"/>
    </w:rPr>
  </w:style>
  <w:style w:type="paragraph" w:styleId="Nagwek3">
    <w:name w:val="heading 3"/>
    <w:basedOn w:val="Nagwek4"/>
    <w:next w:val="Normalny"/>
    <w:link w:val="Nagwek3Znak"/>
    <w:autoRedefine/>
    <w:uiPriority w:val="9"/>
    <w:unhideWhenUsed/>
    <w:qFormat/>
    <w:rsid w:val="007741D8"/>
    <w:pPr>
      <w:keepNext/>
      <w:spacing w:before="120" w:after="6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D45A2D"/>
    <w:rPr>
      <w:b/>
      <w:bCs/>
      <w:color w:val="53565A"/>
      <w:sz w:val="26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B37686"/>
    <w:rPr>
      <w:rFonts w:eastAsia="Calibri"/>
      <w:b/>
      <w:bCs/>
      <w:color w:val="53555A"/>
      <w:sz w:val="24"/>
      <w:szCs w:val="26"/>
    </w:rPr>
  </w:style>
  <w:style w:type="character" w:customStyle="1" w:styleId="Nagwek3Znak">
    <w:name w:val="Nagłówek 3 Znak"/>
    <w:link w:val="Nagwek3"/>
    <w:uiPriority w:val="9"/>
    <w:rsid w:val="007741D8"/>
    <w:rPr>
      <w:b/>
      <w:bCs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09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098"/>
    <w:rPr>
      <w:vertAlign w:val="superscript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locked/>
    <w:rsid w:val="004F0C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katarzyna.gierczak-kasa@pfron.org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iod@pfron.org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settings" Target="settings.xml"/><Relationship Id="rId19" Type="http://schemas.openxmlformats.org/officeDocument/2006/relationships/hyperlink" Target="mailto:kancelaria@pfron.org.pl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89F4-9BD6-4200-ACE9-08D87C43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06934-92E2-4A57-AB25-81CB7CD9A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E5BF3E-EBDA-41F5-BDD8-23AFC7D9E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F8E17-ADF2-4092-921D-13382CB19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D09AB1C-EEDE-4881-8D9F-F28972D2E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1A366D-D14D-4D6E-ADE8-94E87B98810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BCEC8B6-994E-48D5-AA22-FEE4AA4B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5</Pages>
  <Words>1705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Poradnik i Broszura</vt:lpstr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Poradnik i Broszura</dc:title>
  <dc:creator>Grabska Anita</dc:creator>
  <cp:lastModifiedBy>Gierczak-Kasa Katarzyna</cp:lastModifiedBy>
  <cp:revision>3</cp:revision>
  <cp:lastPrinted>2018-05-09T10:06:00Z</cp:lastPrinted>
  <dcterms:created xsi:type="dcterms:W3CDTF">2022-06-10T11:32:00Z</dcterms:created>
  <dcterms:modified xsi:type="dcterms:W3CDTF">2022-06-10T11:32:00Z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