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Pr="00CD43C1" w:rsidRDefault="008E21E3" w:rsidP="00CD43C1">
      <w:r w:rsidRPr="00CD43C1">
        <w:t>Wypłaty refundacji składek na ubezpieczenia społeczne dla osób niepełnosprawnych wykonujących działal</w:t>
      </w:r>
      <w:r w:rsidR="00B175AF" w:rsidRPr="00CD43C1">
        <w:t>ność gospodarczą w okresie 01.</w:t>
      </w:r>
      <w:r w:rsidR="00375206" w:rsidRPr="00CD43C1">
        <w:t>0</w:t>
      </w:r>
      <w:r w:rsidR="001E641D" w:rsidRPr="00CD43C1">
        <w:t>2</w:t>
      </w:r>
      <w:r w:rsidR="00B175AF" w:rsidRPr="00CD43C1">
        <w:t>.201</w:t>
      </w:r>
      <w:r w:rsidR="00E43D69" w:rsidRPr="00CD43C1">
        <w:t>9</w:t>
      </w:r>
      <w:r w:rsidR="00B175AF" w:rsidRPr="00CD43C1">
        <w:t xml:space="preserve"> r. – </w:t>
      </w:r>
      <w:r w:rsidR="001E641D" w:rsidRPr="00CD43C1">
        <w:t>28.02</w:t>
      </w:r>
      <w:r w:rsidRPr="00CD43C1">
        <w:t>.201</w:t>
      </w:r>
      <w:r w:rsidR="00E43D69" w:rsidRPr="00CD43C1">
        <w:t>9</w:t>
      </w:r>
      <w:r w:rsidRPr="00CD43C1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645"/>
        <w:gridCol w:w="1645"/>
        <w:gridCol w:w="1645"/>
        <w:gridCol w:w="1140"/>
        <w:gridCol w:w="1397"/>
        <w:gridCol w:w="1140"/>
        <w:gridCol w:w="1893"/>
        <w:gridCol w:w="1140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CD43C1">
            <w:pPr>
              <w:rPr>
                <w:lang w:eastAsia="pl-PL"/>
              </w:rPr>
            </w:pPr>
            <w:r w:rsidRPr="00AF3553">
              <w:rPr>
                <w:lang w:eastAsia="pl-PL"/>
              </w:rPr>
              <w:t>Okres (</w:t>
            </w:r>
            <w:proofErr w:type="spellStart"/>
            <w:r w:rsidRPr="00AF3553">
              <w:rPr>
                <w:lang w:eastAsia="pl-PL"/>
              </w:rPr>
              <w:t>rrrr</w:t>
            </w:r>
            <w:proofErr w:type="spellEnd"/>
            <w:r w:rsidRPr="00AF3553">
              <w:rPr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CD43C1">
            <w:pPr>
              <w:rPr>
                <w:lang w:eastAsia="pl-PL"/>
              </w:rPr>
            </w:pPr>
            <w:r w:rsidRPr="00AF3553">
              <w:rPr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CD43C1">
            <w:pPr>
              <w:rPr>
                <w:lang w:eastAsia="pl-PL"/>
              </w:rPr>
            </w:pPr>
            <w:r w:rsidRPr="00AF3553">
              <w:rPr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CD43C1">
            <w:pPr>
              <w:rPr>
                <w:lang w:eastAsia="pl-PL"/>
              </w:rPr>
            </w:pPr>
            <w:r w:rsidRPr="00AF3553">
              <w:rPr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CD43C1">
            <w:pPr>
              <w:rPr>
                <w:lang w:eastAsia="pl-PL"/>
              </w:rPr>
            </w:pPr>
            <w:r w:rsidRPr="00AF3553">
              <w:rPr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CD43C1">
            <w:pPr>
              <w:rPr>
                <w:lang w:eastAsia="pl-PL"/>
              </w:rPr>
            </w:pPr>
            <w:r w:rsidRPr="00AF3553">
              <w:rPr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CD43C1">
            <w:pPr>
              <w:rPr>
                <w:lang w:eastAsia="pl-PL"/>
              </w:rPr>
            </w:pPr>
            <w:r w:rsidRPr="00AF3553">
              <w:rPr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CD43C1">
            <w:pPr>
              <w:rPr>
                <w:lang w:eastAsia="pl-PL"/>
              </w:rPr>
            </w:pPr>
            <w:r w:rsidRPr="00AF3553">
              <w:rPr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CD43C1">
            <w:pPr>
              <w:rPr>
                <w:lang w:eastAsia="pl-PL"/>
              </w:rPr>
            </w:pPr>
            <w:r w:rsidRPr="00AF3553">
              <w:rPr>
                <w:lang w:eastAsia="pl-PL"/>
              </w:rPr>
              <w:t>Osoby, którym wypłacono refundację - ogółem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582,22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pPr>
              <w:rPr>
                <w:color w:val="9C0006"/>
              </w:rPr>
            </w:pPr>
            <w:r w:rsidRPr="00E43D69">
              <w:t>-349,33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85,84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85,84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735,70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735,70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  <w:bookmarkStart w:id="0" w:name="_GoBack"/>
        <w:bookmarkEnd w:id="0"/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299,30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299,30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179,57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179,57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296,90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296,90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1 239,96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1 239,96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4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378,29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378,29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746,52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550,41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-152,77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239,46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655,71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851,83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lastRenderedPageBreak/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478,92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282,81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632,66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721,19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1 549,96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4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524,66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1 570,59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5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706,01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150,35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856,36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227,74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243,35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471,09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588,34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708,54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1 100,76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4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69" w:rsidRPr="00E43D69" w:rsidRDefault="00E43D69" w:rsidP="00CD43C1">
            <w:r w:rsidRPr="00E43D69"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D69" w:rsidRPr="00E43D69" w:rsidRDefault="00E43D69" w:rsidP="00CD43C1">
            <w:r w:rsidRPr="00E43D69">
              <w:t>1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-200,87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205,63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172,79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373,66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647,24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647,24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-200,87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-25,92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375,82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lastRenderedPageBreak/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-40,60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361,14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674,33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331,84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543,01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286,10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74,93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361,03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136,24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136,24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77,43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499,77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149,86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149,86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504,08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326,97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831,05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763,34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653,17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844,86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2 261,37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10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763,08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440,17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982,55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2 185,80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10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2018-03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763,34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440,17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624,77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1 828,28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8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lastRenderedPageBreak/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763,34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88,04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873,02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1 724,40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10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2018-05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763,34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1 902,68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617,67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3 283,69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2018-06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793,06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1 628,63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1 093,09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3 514,78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14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2018-07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2 169,06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3 511,81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6 093,96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2018-08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1 526,68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6 443,49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1 286,70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9 256,87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32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2018-09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2 993,92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10 377,35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1 700,41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15 071,68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53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2018-10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5 859,54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26 809,92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7 211,87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39 881,33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136</w:t>
            </w:r>
          </w:p>
        </w:tc>
      </w:tr>
      <w:tr w:rsidR="00E43D6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2018-11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30 144,39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69 918,65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28 115,07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128 178,11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399</w:t>
            </w:r>
          </w:p>
        </w:tc>
      </w:tr>
      <w:tr w:rsidR="00E43D69" w:rsidRPr="00AF3553" w:rsidTr="00E43D69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2018-12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564 017,85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2 233 524,93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790 056,47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5 634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3 587 599,25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10 353</w:t>
            </w:r>
          </w:p>
        </w:tc>
      </w:tr>
      <w:tr w:rsidR="00E43D69" w:rsidRPr="00AF3553" w:rsidTr="00E43D69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2019-01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593 899,76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1 890 504,90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513 953,18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4 638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2 527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2 998 357,84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>7 973</w:t>
            </w:r>
          </w:p>
        </w:tc>
      </w:tr>
      <w:tr w:rsidR="00E43D69" w:rsidRPr="00AF3553" w:rsidTr="00E43D69">
        <w:trPr>
          <w:trHeight w:val="49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D69" w:rsidRPr="00E43D69" w:rsidRDefault="00E43D69" w:rsidP="00CD43C1">
            <w:r w:rsidRPr="00E43D69"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 xml:space="preserve">   1 209 703,29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 xml:space="preserve">   4 260 262,03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 xml:space="preserve">   1 349 465,05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>
            <w:r w:rsidRPr="00E43D69">
              <w:t xml:space="preserve">        6 819 430,37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D69" w:rsidRPr="00E43D69" w:rsidRDefault="00E43D69" w:rsidP="00CD43C1"/>
        </w:tc>
      </w:tr>
    </w:tbl>
    <w:p w:rsidR="008E21E3" w:rsidRPr="00C07BDC" w:rsidRDefault="008E21E3" w:rsidP="00CD43C1"/>
    <w:p w:rsidR="008E21E3" w:rsidRDefault="008E21E3" w:rsidP="00CD43C1">
      <w:pPr>
        <w:rPr>
          <w:lang w:eastAsia="pl-PL"/>
        </w:rPr>
      </w:pPr>
      <w:r w:rsidRPr="008E21E3">
        <w:rPr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lang w:eastAsia="pl-PL"/>
        </w:rPr>
        <w:t>(</w:t>
      </w:r>
      <w:r w:rsidR="001E641D" w:rsidRPr="001E641D">
        <w:rPr>
          <w:lang w:eastAsia="pl-PL"/>
        </w:rPr>
        <w:t>Dz. U. z 2018 r. poz. 511</w:t>
      </w:r>
      <w:r w:rsidR="00E43D69">
        <w:rPr>
          <w:lang w:eastAsia="pl-PL"/>
        </w:rPr>
        <w:t xml:space="preserve"> ze zm.</w:t>
      </w:r>
      <w:r w:rsidR="0033225C" w:rsidRPr="0033225C">
        <w:rPr>
          <w:lang w:eastAsia="pl-PL"/>
        </w:rPr>
        <w:t>)</w:t>
      </w:r>
    </w:p>
    <w:p w:rsidR="008E21E3" w:rsidRDefault="008E21E3" w:rsidP="00CD43C1">
      <w:pPr>
        <w:rPr>
          <w:lang w:eastAsia="pl-PL"/>
        </w:rPr>
      </w:pPr>
    </w:p>
    <w:p w:rsidR="008E21E3" w:rsidRPr="008E21E3" w:rsidRDefault="005B6997" w:rsidP="00CD43C1">
      <w:pPr>
        <w:rPr>
          <w:lang w:eastAsia="pl-PL"/>
        </w:rPr>
      </w:pPr>
      <w:r>
        <w:rPr>
          <w:lang w:eastAsia="pl-PL"/>
        </w:rPr>
        <w:t xml:space="preserve">Dane według stanu na dzień </w:t>
      </w:r>
      <w:r w:rsidR="001E641D">
        <w:rPr>
          <w:lang w:eastAsia="pl-PL"/>
        </w:rPr>
        <w:t>28-02</w:t>
      </w:r>
      <w:r w:rsidR="008E21E3" w:rsidRPr="008E21E3">
        <w:rPr>
          <w:lang w:eastAsia="pl-PL"/>
        </w:rPr>
        <w:t>-201</w:t>
      </w:r>
      <w:r w:rsidR="00E43D69">
        <w:rPr>
          <w:lang w:eastAsia="pl-PL"/>
        </w:rPr>
        <w:t>9</w:t>
      </w:r>
    </w:p>
    <w:p w:rsidR="008E21E3" w:rsidRDefault="008E21E3" w:rsidP="00CD43C1">
      <w:pPr>
        <w:rPr>
          <w:lang w:eastAsia="pl-PL"/>
        </w:rPr>
      </w:pPr>
    </w:p>
    <w:p w:rsidR="008E21E3" w:rsidRPr="008E21E3" w:rsidRDefault="008E21E3" w:rsidP="00CD43C1">
      <w:pPr>
        <w:rPr>
          <w:lang w:eastAsia="pl-PL"/>
        </w:rPr>
      </w:pPr>
      <w:r w:rsidRPr="008E21E3">
        <w:rPr>
          <w:lang w:eastAsia="pl-PL"/>
        </w:rPr>
        <w:t xml:space="preserve">Zestawienie przedstawia wypłacone </w:t>
      </w:r>
      <w:r w:rsidR="00123CAE">
        <w:rPr>
          <w:lang w:eastAsia="pl-PL"/>
        </w:rPr>
        <w:t xml:space="preserve">w </w:t>
      </w:r>
      <w:r w:rsidR="001E641D">
        <w:rPr>
          <w:lang w:eastAsia="pl-PL"/>
        </w:rPr>
        <w:t>lutym</w:t>
      </w:r>
      <w:r w:rsidR="00B175AF">
        <w:rPr>
          <w:lang w:eastAsia="pl-PL"/>
        </w:rPr>
        <w:t xml:space="preserve"> 201</w:t>
      </w:r>
      <w:r w:rsidR="00E43D69">
        <w:rPr>
          <w:lang w:eastAsia="pl-PL"/>
        </w:rPr>
        <w:t>9</w:t>
      </w:r>
      <w:r w:rsidR="00B175AF">
        <w:rPr>
          <w:lang w:eastAsia="pl-PL"/>
        </w:rPr>
        <w:t xml:space="preserve"> r. kwoty refundacji sk</w:t>
      </w:r>
      <w:r w:rsidRPr="008E21E3">
        <w:rPr>
          <w:lang w:eastAsia="pl-PL"/>
        </w:rPr>
        <w:t>ł</w:t>
      </w:r>
      <w:r w:rsidR="00B175AF">
        <w:rPr>
          <w:lang w:eastAsia="pl-PL"/>
        </w:rPr>
        <w:t>a</w:t>
      </w:r>
      <w:r w:rsidRPr="008E21E3">
        <w:rPr>
          <w:lang w:eastAsia="pl-PL"/>
        </w:rPr>
        <w:t>dek na ubezpieczenia społeczne dla osób niepełnospraw</w:t>
      </w:r>
      <w:r>
        <w:rPr>
          <w:lang w:eastAsia="pl-PL"/>
        </w:rPr>
        <w:t>n</w:t>
      </w:r>
      <w:r w:rsidRPr="008E21E3">
        <w:rPr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</w:t>
      </w:r>
      <w:r w:rsidRPr="008E21E3">
        <w:rPr>
          <w:lang w:eastAsia="pl-PL"/>
        </w:rPr>
        <w:lastRenderedPageBreak/>
        <w:t xml:space="preserve">Wartość kwot wypłaconej refundacji w okresie sprawozdawczym jest uzależniona, m. in. od terminów, w których poszczególni Beneficjenci składają prawidłowe wnioski </w:t>
      </w:r>
      <w:r w:rsidR="00611516">
        <w:rPr>
          <w:lang w:eastAsia="pl-PL"/>
        </w:rPr>
        <w:br/>
      </w:r>
      <w:r w:rsidRPr="008E21E3">
        <w:rPr>
          <w:lang w:eastAsia="pl-PL"/>
        </w:rPr>
        <w:t xml:space="preserve">o refundację.    </w:t>
      </w:r>
    </w:p>
    <w:p w:rsidR="008E21E3" w:rsidRPr="008E21E3" w:rsidRDefault="008E21E3" w:rsidP="00CD43C1"/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68"/>
    <w:rsid w:val="000E58FF"/>
    <w:rsid w:val="00123CAE"/>
    <w:rsid w:val="001D559B"/>
    <w:rsid w:val="001E641D"/>
    <w:rsid w:val="002A5C35"/>
    <w:rsid w:val="0033225C"/>
    <w:rsid w:val="00375206"/>
    <w:rsid w:val="004156D2"/>
    <w:rsid w:val="004F1C75"/>
    <w:rsid w:val="00596695"/>
    <w:rsid w:val="00597768"/>
    <w:rsid w:val="005B6997"/>
    <w:rsid w:val="00611516"/>
    <w:rsid w:val="006715FC"/>
    <w:rsid w:val="0072284A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CD43C1"/>
    <w:rsid w:val="00D17344"/>
    <w:rsid w:val="00D3380F"/>
    <w:rsid w:val="00E43D69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26378-2667-4186-A17A-469BB165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3C1"/>
    <w:pPr>
      <w:jc w:val="center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Maria Nejman-Białobrzeska</cp:lastModifiedBy>
  <cp:revision>3</cp:revision>
  <dcterms:created xsi:type="dcterms:W3CDTF">2019-04-23T09:30:00Z</dcterms:created>
  <dcterms:modified xsi:type="dcterms:W3CDTF">2019-04-30T12:37:00Z</dcterms:modified>
</cp:coreProperties>
</file>