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8C1D4" w14:textId="77777777" w:rsidR="00DB01D4" w:rsidRPr="00023A0F" w:rsidRDefault="00DB01D4" w:rsidP="001C6EA5">
      <w:pPr>
        <w:pStyle w:val="NormalnyWeb"/>
        <w:spacing w:before="0" w:beforeAutospacing="0" w:after="0" w:afterAutospacing="0"/>
        <w:ind w:left="6236"/>
      </w:pPr>
      <w:r w:rsidRPr="00023A0F">
        <w:t>Załącznik</w:t>
      </w:r>
    </w:p>
    <w:p w14:paraId="7BD0B149" w14:textId="35724863" w:rsidR="00DB01D4" w:rsidRPr="00023A0F" w:rsidRDefault="00DB01D4" w:rsidP="001C6EA5">
      <w:pPr>
        <w:pStyle w:val="NormalnyWeb"/>
        <w:spacing w:before="0" w:beforeAutospacing="0" w:after="0" w:afterAutospacing="0"/>
        <w:ind w:left="6236"/>
      </w:pPr>
      <w:r w:rsidRPr="00023A0F">
        <w:t>do uchwały nr</w:t>
      </w:r>
      <w:r w:rsidR="002E467C" w:rsidRPr="00023A0F">
        <w:t xml:space="preserve"> </w:t>
      </w:r>
      <w:r w:rsidR="007231A0">
        <w:t>42</w:t>
      </w:r>
      <w:r w:rsidR="001C6EA5" w:rsidRPr="00023A0F">
        <w:t>/201</w:t>
      </w:r>
      <w:r w:rsidR="00F056F6">
        <w:t>9</w:t>
      </w:r>
    </w:p>
    <w:p w14:paraId="102E4478" w14:textId="77777777" w:rsidR="00DB01D4" w:rsidRPr="00023A0F" w:rsidRDefault="00DB01D4" w:rsidP="001C6EA5">
      <w:pPr>
        <w:pStyle w:val="NormalnyWeb"/>
        <w:spacing w:before="0" w:beforeAutospacing="0" w:after="0" w:afterAutospacing="0"/>
        <w:ind w:left="6236"/>
      </w:pPr>
      <w:r w:rsidRPr="00023A0F">
        <w:t>Zarządu PFRON</w:t>
      </w:r>
    </w:p>
    <w:p w14:paraId="5A056850" w14:textId="08755A80" w:rsidR="00DB01D4" w:rsidRPr="00023A0F" w:rsidRDefault="00DB01D4" w:rsidP="001C6EA5">
      <w:pPr>
        <w:pStyle w:val="NormalnyWeb"/>
        <w:spacing w:before="0" w:beforeAutospacing="0" w:after="0" w:afterAutospacing="0"/>
        <w:ind w:left="6236"/>
      </w:pPr>
      <w:r w:rsidRPr="00023A0F">
        <w:t>z dnia</w:t>
      </w:r>
      <w:r w:rsidR="002E467C" w:rsidRPr="00023A0F">
        <w:t xml:space="preserve"> </w:t>
      </w:r>
      <w:r w:rsidR="007231A0">
        <w:t>18 czerwca</w:t>
      </w:r>
      <w:r w:rsidR="00B36169" w:rsidRPr="00023A0F">
        <w:t xml:space="preserve"> </w:t>
      </w:r>
      <w:r w:rsidR="001C6EA5" w:rsidRPr="00023A0F">
        <w:t>201</w:t>
      </w:r>
      <w:r w:rsidR="00F056F6">
        <w:t>9</w:t>
      </w:r>
      <w:r w:rsidRPr="00023A0F">
        <w:t> r.</w:t>
      </w:r>
    </w:p>
    <w:p w14:paraId="1C7FB229" w14:textId="77777777" w:rsidR="00F14621" w:rsidRPr="00023A0F" w:rsidRDefault="00F14621" w:rsidP="00F14621">
      <w:pPr>
        <w:pStyle w:val="NormalnyWeb"/>
        <w:spacing w:before="0" w:beforeAutospacing="0" w:after="0" w:afterAutospacing="0"/>
      </w:pPr>
    </w:p>
    <w:p w14:paraId="69E2945A" w14:textId="77777777" w:rsidR="00DB01D4" w:rsidRPr="00023A0F" w:rsidRDefault="00DB01D4" w:rsidP="00A92464">
      <w:pPr>
        <w:jc w:val="both"/>
        <w:rPr>
          <w:rFonts w:cs="Times New Roman"/>
        </w:rPr>
      </w:pPr>
    </w:p>
    <w:p w14:paraId="34622925" w14:textId="77777777" w:rsidR="00DB01D4" w:rsidRPr="00023A0F" w:rsidRDefault="00DB01D4" w:rsidP="00A92464">
      <w:pPr>
        <w:jc w:val="both"/>
        <w:rPr>
          <w:rFonts w:cs="Times New Roman"/>
        </w:rPr>
      </w:pPr>
    </w:p>
    <w:p w14:paraId="34D15239" w14:textId="77777777" w:rsidR="00F14621" w:rsidRPr="00023A0F" w:rsidRDefault="00F14621" w:rsidP="00A92464">
      <w:pPr>
        <w:jc w:val="both"/>
        <w:rPr>
          <w:rFonts w:cs="Times New Roman"/>
        </w:rPr>
      </w:pPr>
    </w:p>
    <w:p w14:paraId="5D4C301E" w14:textId="77777777" w:rsidR="00877A1E" w:rsidRPr="00023A0F" w:rsidRDefault="00877A1E" w:rsidP="00A92464">
      <w:pPr>
        <w:jc w:val="both"/>
        <w:rPr>
          <w:rFonts w:cs="Times New Roman"/>
        </w:rPr>
      </w:pPr>
    </w:p>
    <w:p w14:paraId="4EDEDFD1" w14:textId="77777777" w:rsidR="001C6EA5" w:rsidRPr="00023A0F" w:rsidRDefault="001C6EA5" w:rsidP="00A92464">
      <w:pPr>
        <w:jc w:val="both"/>
        <w:rPr>
          <w:rFonts w:cs="Times New Roman"/>
        </w:rPr>
      </w:pPr>
    </w:p>
    <w:p w14:paraId="573D2480" w14:textId="77777777" w:rsidR="00DB01D4" w:rsidRPr="00023A0F" w:rsidRDefault="00DB01D4" w:rsidP="00A92464">
      <w:pPr>
        <w:jc w:val="both"/>
        <w:rPr>
          <w:rFonts w:cs="Times New Roman"/>
        </w:rPr>
      </w:pPr>
    </w:p>
    <w:p w14:paraId="5FAE1897" w14:textId="77777777" w:rsidR="00DB01D4" w:rsidRPr="00023A0F" w:rsidRDefault="00DB01D4" w:rsidP="001C6EA5">
      <w:pPr>
        <w:jc w:val="center"/>
        <w:rPr>
          <w:rFonts w:cs="Times New Roman"/>
          <w:b/>
          <w:sz w:val="32"/>
          <w:szCs w:val="32"/>
        </w:rPr>
      </w:pPr>
      <w:r w:rsidRPr="00023A0F">
        <w:rPr>
          <w:rFonts w:cs="Times New Roman"/>
          <w:b/>
          <w:sz w:val="32"/>
          <w:szCs w:val="32"/>
        </w:rPr>
        <w:t>Państwowy Fundusz Rehabilitacji Osób Niepełnosprawnych</w:t>
      </w:r>
    </w:p>
    <w:p w14:paraId="34F24DBF" w14:textId="77777777" w:rsidR="00DB01D4" w:rsidRPr="00023A0F" w:rsidRDefault="00DB01D4" w:rsidP="001C6EA5">
      <w:pPr>
        <w:jc w:val="both"/>
        <w:rPr>
          <w:rFonts w:cs="Times New Roman"/>
        </w:rPr>
      </w:pPr>
    </w:p>
    <w:p w14:paraId="4E9D59A6" w14:textId="77777777" w:rsidR="00DB01D4" w:rsidRPr="00023A0F" w:rsidRDefault="00DB01D4" w:rsidP="001C6EA5">
      <w:pPr>
        <w:jc w:val="both"/>
        <w:rPr>
          <w:rFonts w:cs="Times New Roman"/>
        </w:rPr>
      </w:pPr>
    </w:p>
    <w:p w14:paraId="0585172A" w14:textId="77777777" w:rsidR="00DB01D4" w:rsidRPr="00023A0F" w:rsidRDefault="00DB01D4" w:rsidP="001C6EA5">
      <w:pPr>
        <w:jc w:val="both"/>
        <w:rPr>
          <w:rFonts w:cs="Times New Roman"/>
        </w:rPr>
      </w:pPr>
    </w:p>
    <w:p w14:paraId="5DD66246" w14:textId="77777777" w:rsidR="00877A1E" w:rsidRPr="00023A0F" w:rsidRDefault="00877A1E" w:rsidP="001C6EA5">
      <w:pPr>
        <w:jc w:val="both"/>
        <w:rPr>
          <w:rFonts w:cs="Times New Roman"/>
        </w:rPr>
      </w:pPr>
    </w:p>
    <w:p w14:paraId="0485043B" w14:textId="77777777" w:rsidR="00DB01D4" w:rsidRPr="00023A0F" w:rsidRDefault="00DB01D4" w:rsidP="001C6EA5">
      <w:pPr>
        <w:jc w:val="both"/>
        <w:rPr>
          <w:rFonts w:cs="Times New Roman"/>
        </w:rPr>
      </w:pPr>
    </w:p>
    <w:p w14:paraId="7DFFF504" w14:textId="77777777" w:rsidR="00DB01D4" w:rsidRPr="00023A0F" w:rsidRDefault="00DB01D4" w:rsidP="001C6EA5">
      <w:pPr>
        <w:jc w:val="both"/>
        <w:rPr>
          <w:rFonts w:cs="Times New Roman"/>
        </w:rPr>
      </w:pPr>
    </w:p>
    <w:p w14:paraId="5F679363" w14:textId="77777777" w:rsidR="00DB01D4" w:rsidRPr="00023A0F" w:rsidRDefault="00DB01D4" w:rsidP="001C6EA5">
      <w:pPr>
        <w:jc w:val="both"/>
        <w:rPr>
          <w:rFonts w:cs="Times New Roman"/>
        </w:rPr>
      </w:pPr>
    </w:p>
    <w:p w14:paraId="238E1D66" w14:textId="77777777" w:rsidR="00DB01D4" w:rsidRPr="00023A0F" w:rsidRDefault="00DB01D4" w:rsidP="001C6EA5">
      <w:pPr>
        <w:jc w:val="both"/>
        <w:rPr>
          <w:rFonts w:cs="Times New Roman"/>
        </w:rPr>
      </w:pPr>
    </w:p>
    <w:p w14:paraId="1E0AA321" w14:textId="77777777" w:rsidR="001C6EA5" w:rsidRPr="00023A0F" w:rsidRDefault="001C6EA5" w:rsidP="001C6EA5">
      <w:pPr>
        <w:jc w:val="both"/>
        <w:rPr>
          <w:rFonts w:cs="Times New Roman"/>
        </w:rPr>
      </w:pPr>
    </w:p>
    <w:p w14:paraId="1920F0FF" w14:textId="77777777" w:rsidR="001C6EA5" w:rsidRPr="00023A0F" w:rsidRDefault="001C6EA5" w:rsidP="001C6EA5">
      <w:pPr>
        <w:jc w:val="both"/>
        <w:rPr>
          <w:rFonts w:cs="Times New Roman"/>
        </w:rPr>
      </w:pPr>
    </w:p>
    <w:p w14:paraId="1FCA2F78" w14:textId="5A619125" w:rsidR="001C6EA5" w:rsidRPr="00023A0F" w:rsidRDefault="001C6EA5" w:rsidP="001C6EA5">
      <w:pPr>
        <w:jc w:val="both"/>
        <w:rPr>
          <w:rFonts w:cs="Times New Roman"/>
        </w:rPr>
      </w:pPr>
    </w:p>
    <w:p w14:paraId="2A8BD75A" w14:textId="77777777" w:rsidR="00DB01D4" w:rsidRPr="00023A0F" w:rsidRDefault="00DB01D4" w:rsidP="001C6EA5">
      <w:pPr>
        <w:pStyle w:val="Tekstpodstawowy"/>
        <w:jc w:val="center"/>
        <w:rPr>
          <w:kern w:val="24"/>
          <w:sz w:val="40"/>
          <w:szCs w:val="40"/>
        </w:rPr>
      </w:pPr>
      <w:r w:rsidRPr="00023A0F">
        <w:rPr>
          <w:kern w:val="24"/>
          <w:sz w:val="40"/>
          <w:szCs w:val="40"/>
        </w:rPr>
        <w:t>Procedury realizacji</w:t>
      </w:r>
      <w:r w:rsidR="00877A1E" w:rsidRPr="00023A0F">
        <w:rPr>
          <w:kern w:val="24"/>
          <w:sz w:val="40"/>
          <w:szCs w:val="40"/>
        </w:rPr>
        <w:t xml:space="preserve"> p</w:t>
      </w:r>
      <w:r w:rsidRPr="00023A0F">
        <w:rPr>
          <w:kern w:val="24"/>
          <w:sz w:val="40"/>
          <w:szCs w:val="40"/>
        </w:rPr>
        <w:t>rogramu</w:t>
      </w:r>
    </w:p>
    <w:p w14:paraId="51D1597B" w14:textId="77777777" w:rsidR="00877A1E" w:rsidRPr="00023A0F" w:rsidRDefault="00877A1E" w:rsidP="00877A1E">
      <w:pPr>
        <w:jc w:val="both"/>
        <w:rPr>
          <w:rFonts w:cs="Times New Roman"/>
        </w:rPr>
      </w:pPr>
    </w:p>
    <w:p w14:paraId="6762AFF4" w14:textId="77777777" w:rsidR="001C6EA5" w:rsidRPr="00023A0F" w:rsidRDefault="00D1090A" w:rsidP="001C6EA5">
      <w:pPr>
        <w:pStyle w:val="Tekstpodstawowy"/>
        <w:jc w:val="center"/>
        <w:rPr>
          <w:kern w:val="24"/>
          <w:sz w:val="40"/>
          <w:szCs w:val="40"/>
        </w:rPr>
      </w:pPr>
      <w:r>
        <w:rPr>
          <w:kern w:val="24"/>
          <w:sz w:val="40"/>
          <w:szCs w:val="40"/>
        </w:rPr>
        <w:t>„</w:t>
      </w:r>
      <w:r w:rsidR="001C6EA5" w:rsidRPr="00023A0F">
        <w:rPr>
          <w:kern w:val="24"/>
          <w:sz w:val="40"/>
          <w:szCs w:val="40"/>
        </w:rPr>
        <w:t>STABILNE ZATRUDNIENIE</w:t>
      </w:r>
    </w:p>
    <w:p w14:paraId="50050F89" w14:textId="77777777" w:rsidR="00DB01D4" w:rsidRPr="00023A0F" w:rsidRDefault="001C6EA5" w:rsidP="001C6EA5">
      <w:pPr>
        <w:pStyle w:val="Tekstpodstawowy"/>
        <w:jc w:val="center"/>
        <w:rPr>
          <w:kern w:val="24"/>
          <w:sz w:val="36"/>
          <w:szCs w:val="36"/>
        </w:rPr>
      </w:pPr>
      <w:r w:rsidRPr="00023A0F">
        <w:rPr>
          <w:kern w:val="24"/>
          <w:sz w:val="36"/>
          <w:szCs w:val="36"/>
        </w:rPr>
        <w:t>osoby niepełnosprawne w administracji i służbie publicznej</w:t>
      </w:r>
      <w:r w:rsidR="00D1090A">
        <w:rPr>
          <w:kern w:val="24"/>
          <w:sz w:val="36"/>
          <w:szCs w:val="36"/>
        </w:rPr>
        <w:t>”</w:t>
      </w:r>
    </w:p>
    <w:p w14:paraId="6D31EA2F" w14:textId="77777777" w:rsidR="00877A1E" w:rsidRPr="00023A0F" w:rsidRDefault="00877A1E" w:rsidP="00877A1E">
      <w:pPr>
        <w:jc w:val="both"/>
        <w:rPr>
          <w:rFonts w:cs="Times New Roman"/>
        </w:rPr>
      </w:pPr>
    </w:p>
    <w:p w14:paraId="2EF21119" w14:textId="77777777" w:rsidR="00877A1E" w:rsidRPr="00023A0F" w:rsidRDefault="00877A1E" w:rsidP="00877A1E">
      <w:pPr>
        <w:jc w:val="both"/>
        <w:rPr>
          <w:rFonts w:cs="Times New Roman"/>
        </w:rPr>
      </w:pPr>
    </w:p>
    <w:p w14:paraId="1786C806" w14:textId="77777777" w:rsidR="00877A1E" w:rsidRPr="00023A0F" w:rsidRDefault="00877A1E" w:rsidP="00877A1E">
      <w:pPr>
        <w:jc w:val="both"/>
        <w:rPr>
          <w:rFonts w:cs="Times New Roman"/>
        </w:rPr>
      </w:pPr>
    </w:p>
    <w:p w14:paraId="28B43CC9" w14:textId="77777777" w:rsidR="00877A1E" w:rsidRPr="00023A0F" w:rsidRDefault="00877A1E" w:rsidP="00877A1E">
      <w:pPr>
        <w:jc w:val="both"/>
        <w:rPr>
          <w:rFonts w:cs="Times New Roman"/>
        </w:rPr>
      </w:pPr>
    </w:p>
    <w:p w14:paraId="258CC41C" w14:textId="77777777" w:rsidR="009F431A" w:rsidRPr="00023A0F" w:rsidRDefault="009F431A" w:rsidP="00877A1E">
      <w:pPr>
        <w:jc w:val="both"/>
        <w:rPr>
          <w:rFonts w:cs="Times New Roman"/>
        </w:rPr>
      </w:pPr>
    </w:p>
    <w:p w14:paraId="244C3EE4" w14:textId="77777777" w:rsidR="009F431A" w:rsidRDefault="009F431A" w:rsidP="00877A1E">
      <w:pPr>
        <w:jc w:val="both"/>
        <w:rPr>
          <w:rFonts w:cs="Times New Roman"/>
        </w:rPr>
      </w:pPr>
    </w:p>
    <w:p w14:paraId="1C1566B4" w14:textId="77777777" w:rsidR="001278C5" w:rsidRDefault="001278C5" w:rsidP="00877A1E">
      <w:pPr>
        <w:jc w:val="both"/>
        <w:rPr>
          <w:rFonts w:cs="Times New Roman"/>
        </w:rPr>
      </w:pPr>
    </w:p>
    <w:p w14:paraId="7C11D1DE" w14:textId="77777777" w:rsidR="001278C5" w:rsidRDefault="001278C5" w:rsidP="00877A1E">
      <w:pPr>
        <w:jc w:val="both"/>
        <w:rPr>
          <w:rFonts w:cs="Times New Roman"/>
        </w:rPr>
      </w:pPr>
    </w:p>
    <w:p w14:paraId="52AD209E" w14:textId="77777777" w:rsidR="001278C5" w:rsidRDefault="001278C5" w:rsidP="00877A1E">
      <w:pPr>
        <w:jc w:val="both"/>
        <w:rPr>
          <w:rFonts w:cs="Times New Roman"/>
        </w:rPr>
      </w:pPr>
    </w:p>
    <w:p w14:paraId="56C927B0" w14:textId="77777777" w:rsidR="001278C5" w:rsidRDefault="001278C5" w:rsidP="00877A1E">
      <w:pPr>
        <w:jc w:val="both"/>
        <w:rPr>
          <w:rFonts w:cs="Times New Roman"/>
        </w:rPr>
      </w:pPr>
    </w:p>
    <w:p w14:paraId="7E04600D" w14:textId="77777777" w:rsidR="001278C5" w:rsidRPr="00023A0F" w:rsidRDefault="001278C5" w:rsidP="00877A1E">
      <w:pPr>
        <w:jc w:val="both"/>
        <w:rPr>
          <w:rFonts w:cs="Times New Roman"/>
        </w:rPr>
      </w:pPr>
    </w:p>
    <w:p w14:paraId="08E5E01E" w14:textId="77777777" w:rsidR="009F431A" w:rsidRPr="00023A0F" w:rsidRDefault="009F431A" w:rsidP="00877A1E">
      <w:pPr>
        <w:jc w:val="both"/>
        <w:rPr>
          <w:rFonts w:cs="Times New Roman"/>
        </w:rPr>
      </w:pPr>
    </w:p>
    <w:p w14:paraId="75D38915" w14:textId="77777777" w:rsidR="009F431A" w:rsidRPr="00023A0F" w:rsidRDefault="009F431A" w:rsidP="00877A1E">
      <w:pPr>
        <w:jc w:val="both"/>
        <w:rPr>
          <w:rFonts w:cs="Times New Roman"/>
        </w:rPr>
      </w:pPr>
    </w:p>
    <w:p w14:paraId="4F3ECE95" w14:textId="77777777" w:rsidR="009F431A" w:rsidRPr="00023A0F" w:rsidRDefault="009F431A" w:rsidP="00877A1E">
      <w:pPr>
        <w:jc w:val="both"/>
        <w:rPr>
          <w:rFonts w:cs="Times New Roman"/>
        </w:rPr>
      </w:pPr>
    </w:p>
    <w:p w14:paraId="37880FF5" w14:textId="77777777" w:rsidR="00877A1E" w:rsidRPr="00023A0F" w:rsidRDefault="00877A1E" w:rsidP="00877A1E">
      <w:pPr>
        <w:jc w:val="both"/>
        <w:rPr>
          <w:rFonts w:cs="Times New Roman"/>
        </w:rPr>
      </w:pPr>
    </w:p>
    <w:p w14:paraId="79D8FE12" w14:textId="77777777" w:rsidR="00B36169" w:rsidRPr="00023A0F" w:rsidRDefault="00B36169" w:rsidP="00877A1E">
      <w:pPr>
        <w:jc w:val="both"/>
        <w:rPr>
          <w:rFonts w:cs="Times New Roman"/>
        </w:rPr>
      </w:pPr>
    </w:p>
    <w:p w14:paraId="1497F11A" w14:textId="77777777" w:rsidR="00B36169" w:rsidRPr="00023A0F" w:rsidRDefault="00B36169" w:rsidP="00877A1E">
      <w:pPr>
        <w:jc w:val="both"/>
        <w:rPr>
          <w:rFonts w:cs="Times New Roman"/>
        </w:rPr>
      </w:pPr>
    </w:p>
    <w:p w14:paraId="24092FF7" w14:textId="77777777" w:rsidR="00877A1E" w:rsidRPr="00023A0F" w:rsidRDefault="00877A1E" w:rsidP="00877A1E">
      <w:pPr>
        <w:jc w:val="both"/>
        <w:rPr>
          <w:rFonts w:cs="Times New Roman"/>
        </w:rPr>
      </w:pPr>
    </w:p>
    <w:p w14:paraId="0F81CF14" w14:textId="77777777" w:rsidR="00DB01D4" w:rsidRPr="00023A0F" w:rsidRDefault="001C6EA5" w:rsidP="001C6EA5">
      <w:pPr>
        <w:jc w:val="center"/>
        <w:rPr>
          <w:rFonts w:cs="Times New Roman"/>
          <w:b/>
          <w:sz w:val="32"/>
          <w:szCs w:val="32"/>
        </w:rPr>
      </w:pPr>
      <w:r w:rsidRPr="00023A0F">
        <w:rPr>
          <w:rFonts w:cs="Times New Roman"/>
          <w:b/>
          <w:sz w:val="32"/>
          <w:szCs w:val="32"/>
        </w:rPr>
        <w:t>Warszawa</w:t>
      </w:r>
    </w:p>
    <w:p w14:paraId="01F1FC86" w14:textId="77777777" w:rsidR="00DB01D4" w:rsidRPr="00023A0F" w:rsidRDefault="00DB01D4" w:rsidP="001C6EA5">
      <w:pPr>
        <w:jc w:val="both"/>
        <w:rPr>
          <w:rFonts w:cs="Times New Roman"/>
        </w:rPr>
      </w:pPr>
    </w:p>
    <w:p w14:paraId="3B715461" w14:textId="77777777" w:rsidR="00DB01D4" w:rsidRPr="00023A0F" w:rsidRDefault="00DA5A43" w:rsidP="00A92464">
      <w:pPr>
        <w:pStyle w:val="NormalnyWeb"/>
        <w:spacing w:before="480" w:beforeAutospacing="0" w:after="240" w:afterAutospacing="0"/>
        <w:ind w:left="340" w:hanging="340"/>
        <w:jc w:val="both"/>
        <w:rPr>
          <w:b/>
          <w:sz w:val="32"/>
          <w:szCs w:val="32"/>
        </w:rPr>
      </w:pPr>
      <w:bookmarkStart w:id="0" w:name="_GoBack"/>
      <w:bookmarkEnd w:id="0"/>
      <w:r w:rsidRPr="00023A0F">
        <w:rPr>
          <w:b/>
          <w:sz w:val="32"/>
          <w:szCs w:val="32"/>
        </w:rPr>
        <w:lastRenderedPageBreak/>
        <w:t>I.</w:t>
      </w:r>
      <w:r w:rsidRPr="00023A0F">
        <w:rPr>
          <w:b/>
          <w:sz w:val="32"/>
          <w:szCs w:val="32"/>
        </w:rPr>
        <w:tab/>
      </w:r>
      <w:r w:rsidR="00DB01D4" w:rsidRPr="00023A0F">
        <w:rPr>
          <w:b/>
          <w:sz w:val="32"/>
          <w:szCs w:val="32"/>
        </w:rPr>
        <w:t>Definicje pojęć:</w:t>
      </w:r>
    </w:p>
    <w:p w14:paraId="05BEF3D2" w14:textId="77777777" w:rsidR="00DB01D4" w:rsidRPr="00023A0F" w:rsidRDefault="00DB01D4" w:rsidP="00A92464">
      <w:pPr>
        <w:pStyle w:val="Tekstpodstawowy3"/>
        <w:jc w:val="both"/>
        <w:rPr>
          <w:szCs w:val="24"/>
        </w:rPr>
      </w:pPr>
      <w:r w:rsidRPr="00023A0F">
        <w:rPr>
          <w:szCs w:val="24"/>
        </w:rPr>
        <w:t>Ilekroć w niniejszym dokumencie jest mowa o:</w:t>
      </w:r>
    </w:p>
    <w:p w14:paraId="099C7CF5" w14:textId="77777777" w:rsidR="007E17EC" w:rsidRPr="007E17EC" w:rsidRDefault="007E17EC" w:rsidP="00CF46F1">
      <w:pPr>
        <w:pStyle w:val="Tekstpodstawowy3"/>
        <w:numPr>
          <w:ilvl w:val="0"/>
          <w:numId w:val="2"/>
        </w:numPr>
        <w:spacing w:before="120"/>
        <w:jc w:val="both"/>
        <w:rPr>
          <w:szCs w:val="24"/>
        </w:rPr>
      </w:pPr>
      <w:r w:rsidRPr="007E17EC">
        <w:rPr>
          <w:b/>
          <w:szCs w:val="24"/>
        </w:rPr>
        <w:t>administracji rządowej</w:t>
      </w:r>
      <w:r w:rsidRPr="007E17EC">
        <w:rPr>
          <w:szCs w:val="24"/>
        </w:rPr>
        <w:t xml:space="preserve"> – należy przez to rozumieć naczelne lub centralne organy administracji rządowej oraz terenowe organy administracji rządowej;</w:t>
      </w:r>
    </w:p>
    <w:p w14:paraId="53728949" w14:textId="77777777" w:rsidR="00C12DCE" w:rsidRPr="00023A0F" w:rsidRDefault="00C12DCE" w:rsidP="00CF46F1">
      <w:pPr>
        <w:pStyle w:val="Tekstpodstawowy3"/>
        <w:numPr>
          <w:ilvl w:val="0"/>
          <w:numId w:val="2"/>
        </w:numPr>
        <w:spacing w:before="120"/>
        <w:ind w:left="426" w:hanging="426"/>
        <w:jc w:val="both"/>
        <w:rPr>
          <w:szCs w:val="24"/>
        </w:rPr>
      </w:pPr>
      <w:r w:rsidRPr="00023A0F">
        <w:rPr>
          <w:b/>
          <w:szCs w:val="24"/>
        </w:rPr>
        <w:t>działaniach aktywizacyjnych</w:t>
      </w:r>
      <w:r w:rsidRPr="00023A0F">
        <w:rPr>
          <w:szCs w:val="24"/>
        </w:rPr>
        <w:t xml:space="preserve"> – należy przez to rozumieć działania wskazane w rozdziale VIII ust.</w:t>
      </w:r>
      <w:r w:rsidR="00EE61F1" w:rsidRPr="00023A0F">
        <w:rPr>
          <w:szCs w:val="24"/>
        </w:rPr>
        <w:t> </w:t>
      </w:r>
      <w:r w:rsidRPr="00023A0F">
        <w:rPr>
          <w:szCs w:val="24"/>
        </w:rPr>
        <w:t>1 programu</w:t>
      </w:r>
      <w:r w:rsidR="008A71F1" w:rsidRPr="00023A0F">
        <w:rPr>
          <w:szCs w:val="24"/>
        </w:rPr>
        <w:t xml:space="preserve"> oraz w rozdziale X ust. 1 programu</w:t>
      </w:r>
      <w:r w:rsidRPr="00023A0F">
        <w:rPr>
          <w:szCs w:val="24"/>
        </w:rPr>
        <w:t>;</w:t>
      </w:r>
    </w:p>
    <w:p w14:paraId="6C099DE4" w14:textId="77777777" w:rsidR="00865953" w:rsidRPr="00023A0F" w:rsidRDefault="00865953" w:rsidP="00CF46F1">
      <w:pPr>
        <w:pStyle w:val="Tekstpodstawowy3"/>
        <w:numPr>
          <w:ilvl w:val="0"/>
          <w:numId w:val="2"/>
        </w:numPr>
        <w:spacing w:before="120"/>
        <w:ind w:left="426" w:hanging="426"/>
        <w:jc w:val="both"/>
        <w:rPr>
          <w:szCs w:val="24"/>
        </w:rPr>
      </w:pPr>
      <w:r w:rsidRPr="00023A0F">
        <w:rPr>
          <w:b/>
          <w:szCs w:val="24"/>
        </w:rPr>
        <w:t>instytucjach kultury</w:t>
      </w:r>
      <w:r w:rsidRPr="00023A0F">
        <w:rPr>
          <w:szCs w:val="24"/>
        </w:rPr>
        <w:t xml:space="preserve"> – należy przez to rozumieć państwowe oraz samorządowe instytucje kultury;</w:t>
      </w:r>
    </w:p>
    <w:p w14:paraId="47FB3501" w14:textId="77777777" w:rsidR="004E71B8" w:rsidRPr="00023A0F" w:rsidRDefault="004E71B8" w:rsidP="00CF46F1">
      <w:pPr>
        <w:pStyle w:val="Tekstpodstawowy3"/>
        <w:numPr>
          <w:ilvl w:val="0"/>
          <w:numId w:val="2"/>
        </w:numPr>
        <w:spacing w:before="120"/>
        <w:ind w:left="426" w:hanging="426"/>
        <w:jc w:val="both"/>
        <w:rPr>
          <w:szCs w:val="24"/>
        </w:rPr>
      </w:pPr>
      <w:r w:rsidRPr="00023A0F">
        <w:rPr>
          <w:b/>
          <w:szCs w:val="24"/>
        </w:rPr>
        <w:t>instytucjach publicznych</w:t>
      </w:r>
      <w:r w:rsidRPr="00023A0F">
        <w:rPr>
          <w:szCs w:val="24"/>
        </w:rPr>
        <w:t xml:space="preserve"> – należy przez to rozmieć organy i instytucje określone w rozdziale VI ust. 1 </w:t>
      </w:r>
      <w:r w:rsidR="00865953" w:rsidRPr="00023A0F">
        <w:rPr>
          <w:szCs w:val="24"/>
        </w:rPr>
        <w:t xml:space="preserve">pkt 1 </w:t>
      </w:r>
      <w:r w:rsidRPr="00023A0F">
        <w:rPr>
          <w:szCs w:val="24"/>
        </w:rPr>
        <w:t>programu;</w:t>
      </w:r>
    </w:p>
    <w:p w14:paraId="0B2D46E7" w14:textId="77777777" w:rsidR="00865953" w:rsidRPr="00023A0F" w:rsidRDefault="00865953" w:rsidP="00CF46F1">
      <w:pPr>
        <w:pStyle w:val="Tekstpodstawowy3"/>
        <w:numPr>
          <w:ilvl w:val="0"/>
          <w:numId w:val="2"/>
        </w:numPr>
        <w:spacing w:before="120"/>
        <w:ind w:left="426" w:hanging="426"/>
        <w:jc w:val="both"/>
        <w:rPr>
          <w:szCs w:val="24"/>
        </w:rPr>
      </w:pPr>
      <w:r w:rsidRPr="00023A0F">
        <w:rPr>
          <w:b/>
          <w:szCs w:val="24"/>
        </w:rPr>
        <w:t>jednostkach samorządu terytorialnego</w:t>
      </w:r>
      <w:r w:rsidRPr="00023A0F">
        <w:rPr>
          <w:szCs w:val="24"/>
        </w:rPr>
        <w:t xml:space="preserve"> – należy przez to rozumieć samorząd gminny, samorząd powiatowy, samorząd województwa;</w:t>
      </w:r>
    </w:p>
    <w:p w14:paraId="6305AFBB" w14:textId="77777777" w:rsidR="008A71F1" w:rsidRPr="00023A0F" w:rsidRDefault="008A71F1" w:rsidP="00CF46F1">
      <w:pPr>
        <w:pStyle w:val="Tekstpodstawowy3"/>
        <w:numPr>
          <w:ilvl w:val="0"/>
          <w:numId w:val="2"/>
        </w:numPr>
        <w:spacing w:before="120"/>
        <w:jc w:val="both"/>
        <w:rPr>
          <w:szCs w:val="24"/>
        </w:rPr>
      </w:pPr>
      <w:r w:rsidRPr="00023A0F">
        <w:rPr>
          <w:b/>
          <w:szCs w:val="24"/>
        </w:rPr>
        <w:t>organizacjach pozarządowych</w:t>
      </w:r>
      <w:r w:rsidRPr="00023A0F">
        <w:rPr>
          <w:szCs w:val="24"/>
        </w:rPr>
        <w:t xml:space="preserve"> – należy przez to rozumieć organizacje, o których mowa w art. 2 pkt 3 ustawy z dnia 27 sierpnia 1997 r. o rehabilitacji zawodowej i społecznej oraz zatrudnianiu osób niepełnos</w:t>
      </w:r>
      <w:r w:rsidR="00E43832">
        <w:rPr>
          <w:szCs w:val="24"/>
        </w:rPr>
        <w:t>prawnych (Dz. U. z 2018 r. poz. 511, z późn. </w:t>
      </w:r>
      <w:r w:rsidRPr="00023A0F">
        <w:rPr>
          <w:szCs w:val="24"/>
        </w:rPr>
        <w:t>zm.);</w:t>
      </w:r>
    </w:p>
    <w:p w14:paraId="6C339264" w14:textId="77777777" w:rsidR="0052039C" w:rsidRPr="00023A0F" w:rsidRDefault="0052039C" w:rsidP="00CF46F1">
      <w:pPr>
        <w:pStyle w:val="Tekstpodstawowy3"/>
        <w:numPr>
          <w:ilvl w:val="0"/>
          <w:numId w:val="2"/>
        </w:numPr>
        <w:spacing w:before="120"/>
        <w:ind w:left="426" w:hanging="426"/>
        <w:jc w:val="both"/>
        <w:rPr>
          <w:szCs w:val="24"/>
        </w:rPr>
      </w:pPr>
      <w:r w:rsidRPr="00023A0F">
        <w:rPr>
          <w:b/>
          <w:szCs w:val="24"/>
        </w:rPr>
        <w:t xml:space="preserve">osobie zależnej </w:t>
      </w:r>
      <w:r w:rsidRPr="00023A0F">
        <w:rPr>
          <w:szCs w:val="24"/>
        </w:rPr>
        <w:t xml:space="preserve">– należy przez to rozumieć osobę wymagającą ze względu na stan zdrowia lub wiek stałej opieki, połączoną więzami rodzinnymi lub powinowactwem z </w:t>
      </w:r>
      <w:r w:rsidR="003729CE" w:rsidRPr="00023A0F">
        <w:rPr>
          <w:szCs w:val="24"/>
        </w:rPr>
        <w:t xml:space="preserve">beneficjentem ostatecznym </w:t>
      </w:r>
      <w:r w:rsidR="005C35BE" w:rsidRPr="00023A0F">
        <w:rPr>
          <w:szCs w:val="24"/>
        </w:rPr>
        <w:t>lub pozostającą z nim</w:t>
      </w:r>
      <w:r w:rsidRPr="00023A0F">
        <w:rPr>
          <w:szCs w:val="24"/>
        </w:rPr>
        <w:t xml:space="preserve"> we wspólnym gospodarstwie domowym;</w:t>
      </w:r>
    </w:p>
    <w:p w14:paraId="1183F107" w14:textId="77777777" w:rsidR="0078397A" w:rsidRDefault="0078397A" w:rsidP="00CF46F1">
      <w:pPr>
        <w:pStyle w:val="Tekstpodstawowy3"/>
        <w:numPr>
          <w:ilvl w:val="0"/>
          <w:numId w:val="2"/>
        </w:numPr>
        <w:spacing w:before="120"/>
        <w:ind w:left="426" w:hanging="426"/>
        <w:jc w:val="both"/>
        <w:rPr>
          <w:szCs w:val="24"/>
        </w:rPr>
      </w:pPr>
      <w:r w:rsidRPr="00023A0F">
        <w:rPr>
          <w:b/>
          <w:szCs w:val="24"/>
        </w:rPr>
        <w:t>procedurach</w:t>
      </w:r>
      <w:r w:rsidRPr="00023A0F">
        <w:rPr>
          <w:szCs w:val="24"/>
        </w:rPr>
        <w:t xml:space="preserve"> – należy przez to rozumieć procedury realizacji programu „STABILNE ZATRUDNIENIE – osoby niepełnosprawne w admi</w:t>
      </w:r>
      <w:r w:rsidR="008C6642" w:rsidRPr="00023A0F">
        <w:rPr>
          <w:szCs w:val="24"/>
        </w:rPr>
        <w:t>nistracji i służbie publicznej”;</w:t>
      </w:r>
    </w:p>
    <w:p w14:paraId="0DC26633" w14:textId="77777777" w:rsidR="0018291E" w:rsidRPr="00E55A7E" w:rsidRDefault="0018291E" w:rsidP="0018291E">
      <w:pPr>
        <w:pStyle w:val="Tekstpodstawowy3"/>
        <w:numPr>
          <w:ilvl w:val="0"/>
          <w:numId w:val="2"/>
        </w:numPr>
        <w:spacing w:before="120"/>
        <w:ind w:left="426" w:hanging="426"/>
        <w:jc w:val="both"/>
        <w:rPr>
          <w:szCs w:val="24"/>
        </w:rPr>
      </w:pPr>
      <w:r w:rsidRPr="0018291E">
        <w:rPr>
          <w:b/>
          <w:szCs w:val="24"/>
        </w:rPr>
        <w:t>ustawie o działalności pożytku publicznego i o wolontariacie</w:t>
      </w:r>
      <w:r w:rsidRPr="00E55A7E">
        <w:rPr>
          <w:szCs w:val="24"/>
        </w:rPr>
        <w:t xml:space="preserve"> – należy przez to rozumieć ustawę z dnia 24 kwietnia 2003 r. o działalności pożytku publicznego i o wolontariacie (Dz. U. z</w:t>
      </w:r>
      <w:r>
        <w:rPr>
          <w:szCs w:val="24"/>
        </w:rPr>
        <w:t> </w:t>
      </w:r>
      <w:r w:rsidRPr="00E55A7E">
        <w:rPr>
          <w:szCs w:val="24"/>
        </w:rPr>
        <w:t>2018 r. poz. 450, z późn. zm.);</w:t>
      </w:r>
    </w:p>
    <w:p w14:paraId="75D75F08" w14:textId="77777777" w:rsidR="0018291E" w:rsidRPr="00BD2C1F" w:rsidRDefault="0018291E" w:rsidP="00933542">
      <w:pPr>
        <w:pStyle w:val="Tekstpodstawowy3"/>
        <w:numPr>
          <w:ilvl w:val="0"/>
          <w:numId w:val="2"/>
        </w:numPr>
        <w:spacing w:before="120"/>
        <w:ind w:left="341" w:hanging="454"/>
        <w:jc w:val="both"/>
        <w:rPr>
          <w:szCs w:val="24"/>
        </w:rPr>
      </w:pPr>
      <w:r w:rsidRPr="00933542">
        <w:rPr>
          <w:b/>
          <w:szCs w:val="24"/>
        </w:rPr>
        <w:t>ustawie o rehabilitacji</w:t>
      </w:r>
      <w:r w:rsidRPr="003C0764">
        <w:rPr>
          <w:szCs w:val="24"/>
        </w:rPr>
        <w:t xml:space="preserve"> – należy przez to rozumieć ustawę z dnia 27 sierpnia 1997 r. o rehabilitacji zawodowej i społecznej oraz zatrudnianiu osób niepełnosprawnych </w:t>
      </w:r>
      <w:r w:rsidRPr="00E55A7E">
        <w:rPr>
          <w:szCs w:val="24"/>
        </w:rPr>
        <w:t>(Dz. U. z 2018 r., poz. 511, z późn. zm.)</w:t>
      </w:r>
      <w:r w:rsidRPr="003C0764">
        <w:rPr>
          <w:szCs w:val="24"/>
        </w:rPr>
        <w:t>;</w:t>
      </w:r>
    </w:p>
    <w:p w14:paraId="6265B210" w14:textId="77777777" w:rsidR="0048792C" w:rsidRPr="00023A0F" w:rsidRDefault="0048792C" w:rsidP="00933542">
      <w:pPr>
        <w:pStyle w:val="Tekstpodstawowy3"/>
        <w:numPr>
          <w:ilvl w:val="0"/>
          <w:numId w:val="2"/>
        </w:numPr>
        <w:spacing w:before="120"/>
        <w:ind w:left="341" w:hanging="454"/>
        <w:jc w:val="both"/>
        <w:rPr>
          <w:szCs w:val="24"/>
        </w:rPr>
      </w:pPr>
      <w:r w:rsidRPr="00AB6B5D">
        <w:rPr>
          <w:b/>
          <w:szCs w:val="24"/>
        </w:rPr>
        <w:t>Wnioskodawcy</w:t>
      </w:r>
      <w:r w:rsidR="008A71F1" w:rsidRPr="00023A0F">
        <w:rPr>
          <w:szCs w:val="24"/>
        </w:rPr>
        <w:t xml:space="preserve"> – należy przez to rozumieć podmiot uprawniony do ubiegania się o przyznanie pomocy finansowej w ramach programu, spełniający warunki, o którym mowa w rozdziale VI oraz w rozdziale VII programu</w:t>
      </w:r>
      <w:r w:rsidR="003A4764" w:rsidRPr="00023A0F">
        <w:rPr>
          <w:szCs w:val="24"/>
        </w:rPr>
        <w:t>;</w:t>
      </w:r>
    </w:p>
    <w:p w14:paraId="726CE8E6" w14:textId="77777777" w:rsidR="00EE0032" w:rsidRPr="00806708" w:rsidRDefault="00EE0032" w:rsidP="00EE0032">
      <w:pPr>
        <w:pStyle w:val="Tekstpodstawowy3"/>
        <w:numPr>
          <w:ilvl w:val="0"/>
          <w:numId w:val="2"/>
        </w:numPr>
        <w:spacing w:before="120"/>
        <w:ind w:left="341" w:hanging="454"/>
        <w:jc w:val="both"/>
        <w:rPr>
          <w:szCs w:val="24"/>
        </w:rPr>
      </w:pPr>
      <w:r w:rsidRPr="00806708">
        <w:rPr>
          <w:b/>
          <w:szCs w:val="24"/>
        </w:rPr>
        <w:t>Wnioskodawcy-Liderze</w:t>
      </w:r>
      <w:r w:rsidRPr="00806708">
        <w:rPr>
          <w:szCs w:val="24"/>
        </w:rPr>
        <w:t xml:space="preserve"> – należy przez to rozumieć </w:t>
      </w:r>
      <w:r w:rsidR="00310967" w:rsidRPr="00806708">
        <w:rPr>
          <w:szCs w:val="24"/>
        </w:rPr>
        <w:t>podmiot, który występuje w imieniu Wnioskodawców składających wniosek wspólny</w:t>
      </w:r>
      <w:r w:rsidR="00E57F8D" w:rsidRPr="00806708">
        <w:rPr>
          <w:szCs w:val="24"/>
        </w:rPr>
        <w:t>, o którym mowa w rozdziale VI ust. 3a pkt 3 programu;</w:t>
      </w:r>
    </w:p>
    <w:p w14:paraId="572FBEA2" w14:textId="77777777" w:rsidR="00EA7009" w:rsidRDefault="00EA7009" w:rsidP="00933542">
      <w:pPr>
        <w:pStyle w:val="Tekstpodstawowy3"/>
        <w:numPr>
          <w:ilvl w:val="0"/>
          <w:numId w:val="2"/>
        </w:numPr>
        <w:spacing w:before="120"/>
        <w:ind w:left="341" w:hanging="454"/>
        <w:jc w:val="both"/>
        <w:rPr>
          <w:szCs w:val="24"/>
        </w:rPr>
      </w:pPr>
      <w:r w:rsidRPr="00806708">
        <w:rPr>
          <w:b/>
          <w:szCs w:val="24"/>
        </w:rPr>
        <w:t>wniosku</w:t>
      </w:r>
      <w:r w:rsidRPr="00023A0F">
        <w:rPr>
          <w:szCs w:val="24"/>
        </w:rPr>
        <w:t xml:space="preserve"> – należy przez to rozumieć wniosek o </w:t>
      </w:r>
      <w:r w:rsidR="00834F2A" w:rsidRPr="00023A0F">
        <w:rPr>
          <w:szCs w:val="24"/>
        </w:rPr>
        <w:t>dofinansowanie</w:t>
      </w:r>
      <w:r w:rsidRPr="00023A0F">
        <w:rPr>
          <w:szCs w:val="24"/>
        </w:rPr>
        <w:t xml:space="preserve"> w</w:t>
      </w:r>
      <w:r w:rsidR="00360433" w:rsidRPr="00023A0F">
        <w:rPr>
          <w:szCs w:val="24"/>
        </w:rPr>
        <w:t> </w:t>
      </w:r>
      <w:r w:rsidR="00DB6C6F" w:rsidRPr="00023A0F">
        <w:rPr>
          <w:szCs w:val="24"/>
        </w:rPr>
        <w:t>ramach</w:t>
      </w:r>
      <w:r w:rsidR="00023A0F">
        <w:rPr>
          <w:szCs w:val="24"/>
        </w:rPr>
        <w:t xml:space="preserve"> modułu I „Instytucje” lub wniosek </w:t>
      </w:r>
      <w:r w:rsidR="00023A0F" w:rsidRPr="00023A0F">
        <w:rPr>
          <w:szCs w:val="24"/>
        </w:rPr>
        <w:t>o dofinansowanie w</w:t>
      </w:r>
      <w:r w:rsidR="00023A0F">
        <w:rPr>
          <w:szCs w:val="24"/>
        </w:rPr>
        <w:t> </w:t>
      </w:r>
      <w:r w:rsidR="00023A0F" w:rsidRPr="00023A0F">
        <w:rPr>
          <w:szCs w:val="24"/>
        </w:rPr>
        <w:t>ramach modułu I</w:t>
      </w:r>
      <w:r w:rsidR="00023A0F">
        <w:rPr>
          <w:szCs w:val="24"/>
        </w:rPr>
        <w:t>I</w:t>
      </w:r>
      <w:r w:rsidR="00023A0F" w:rsidRPr="00023A0F">
        <w:rPr>
          <w:szCs w:val="24"/>
        </w:rPr>
        <w:t xml:space="preserve"> „</w:t>
      </w:r>
      <w:r w:rsidR="00023A0F">
        <w:rPr>
          <w:szCs w:val="24"/>
        </w:rPr>
        <w:t>Staże zawodowe</w:t>
      </w:r>
      <w:r w:rsidR="00023A0F" w:rsidRPr="00023A0F">
        <w:rPr>
          <w:szCs w:val="24"/>
        </w:rPr>
        <w:t>”</w:t>
      </w:r>
      <w:r w:rsidR="00E57F8D">
        <w:rPr>
          <w:szCs w:val="24"/>
        </w:rPr>
        <w:t>.</w:t>
      </w:r>
    </w:p>
    <w:p w14:paraId="5DB12916" w14:textId="77777777" w:rsidR="0048792C" w:rsidRPr="00023A0F" w:rsidRDefault="00FB3E81" w:rsidP="00E57F8D">
      <w:pPr>
        <w:pStyle w:val="NormalnyWeb"/>
        <w:spacing w:before="480" w:beforeAutospacing="0" w:after="240" w:afterAutospacing="0"/>
        <w:ind w:left="454" w:hanging="454"/>
        <w:jc w:val="both"/>
        <w:rPr>
          <w:b/>
          <w:sz w:val="32"/>
          <w:szCs w:val="32"/>
        </w:rPr>
      </w:pPr>
      <w:r w:rsidRPr="00023A0F">
        <w:rPr>
          <w:b/>
          <w:sz w:val="32"/>
          <w:szCs w:val="32"/>
        </w:rPr>
        <w:t>I</w:t>
      </w:r>
      <w:r w:rsidR="0048792C" w:rsidRPr="00023A0F">
        <w:rPr>
          <w:b/>
          <w:sz w:val="32"/>
          <w:szCs w:val="32"/>
        </w:rPr>
        <w:t>I.</w:t>
      </w:r>
      <w:r w:rsidR="0048792C" w:rsidRPr="00023A0F">
        <w:rPr>
          <w:b/>
          <w:sz w:val="32"/>
          <w:szCs w:val="32"/>
        </w:rPr>
        <w:tab/>
        <w:t>Podstawa prawna</w:t>
      </w:r>
    </w:p>
    <w:p w14:paraId="708221D5" w14:textId="77777777" w:rsidR="00933542" w:rsidRDefault="00FB3E81" w:rsidP="00EA7009">
      <w:pPr>
        <w:pStyle w:val="Tekstpodstawowy3"/>
        <w:jc w:val="both"/>
        <w:rPr>
          <w:szCs w:val="24"/>
        </w:rPr>
      </w:pPr>
      <w:r w:rsidRPr="00023A0F">
        <w:rPr>
          <w:szCs w:val="24"/>
        </w:rPr>
        <w:t>Art. 51 ust. 3 pkt 3 w związku z art. 47 ust. 1 pkt 4</w:t>
      </w:r>
      <w:r w:rsidR="00EA7009" w:rsidRPr="00023A0F">
        <w:rPr>
          <w:szCs w:val="24"/>
        </w:rPr>
        <w:t xml:space="preserve"> ustawy </w:t>
      </w:r>
      <w:r w:rsidRPr="00FE7795">
        <w:rPr>
          <w:szCs w:val="24"/>
        </w:rPr>
        <w:t>o</w:t>
      </w:r>
      <w:r w:rsidR="00806708">
        <w:rPr>
          <w:szCs w:val="24"/>
        </w:rPr>
        <w:t xml:space="preserve"> </w:t>
      </w:r>
      <w:r w:rsidRPr="00FE7795">
        <w:rPr>
          <w:szCs w:val="24"/>
        </w:rPr>
        <w:t>rehabilitacji</w:t>
      </w:r>
      <w:r w:rsidRPr="00023A0F">
        <w:rPr>
          <w:szCs w:val="24"/>
        </w:rPr>
        <w:t xml:space="preserve"> oraz </w:t>
      </w:r>
      <w:r w:rsidR="00EA7009" w:rsidRPr="00023A0F">
        <w:rPr>
          <w:szCs w:val="24"/>
        </w:rPr>
        <w:t>uchwała</w:t>
      </w:r>
      <w:r w:rsidR="005455B3" w:rsidRPr="00023A0F">
        <w:rPr>
          <w:szCs w:val="24"/>
        </w:rPr>
        <w:t xml:space="preserve"> nr </w:t>
      </w:r>
      <w:r w:rsidR="00C51893" w:rsidRPr="00023A0F">
        <w:rPr>
          <w:szCs w:val="24"/>
        </w:rPr>
        <w:t>11</w:t>
      </w:r>
      <w:r w:rsidRPr="00023A0F">
        <w:rPr>
          <w:szCs w:val="24"/>
        </w:rPr>
        <w:t>/2016 Rady Nadzorc</w:t>
      </w:r>
      <w:r w:rsidR="00EA7009" w:rsidRPr="00023A0F">
        <w:rPr>
          <w:szCs w:val="24"/>
        </w:rPr>
        <w:t xml:space="preserve">zej PFRON z dnia </w:t>
      </w:r>
      <w:r w:rsidR="00C51893" w:rsidRPr="00023A0F">
        <w:rPr>
          <w:szCs w:val="24"/>
        </w:rPr>
        <w:t xml:space="preserve">8 </w:t>
      </w:r>
      <w:r w:rsidR="00EA7009" w:rsidRPr="00023A0F">
        <w:rPr>
          <w:szCs w:val="24"/>
        </w:rPr>
        <w:t>grudnia 2016 </w:t>
      </w:r>
      <w:r w:rsidRPr="00023A0F">
        <w:rPr>
          <w:szCs w:val="24"/>
        </w:rPr>
        <w:t>r. w</w:t>
      </w:r>
      <w:r w:rsidR="00357785" w:rsidRPr="00023A0F">
        <w:rPr>
          <w:szCs w:val="24"/>
        </w:rPr>
        <w:t xml:space="preserve"> </w:t>
      </w:r>
      <w:r w:rsidRPr="00023A0F">
        <w:rPr>
          <w:szCs w:val="24"/>
        </w:rPr>
        <w:t>sprawie zatwierdzenia programu ,,STABILNE ZATRUDNIENIE – osoby niepełnosprawne w</w:t>
      </w:r>
      <w:r w:rsidR="00AF0F95" w:rsidRPr="00023A0F">
        <w:rPr>
          <w:szCs w:val="24"/>
        </w:rPr>
        <w:t xml:space="preserve"> </w:t>
      </w:r>
      <w:r w:rsidRPr="00023A0F">
        <w:rPr>
          <w:szCs w:val="24"/>
        </w:rPr>
        <w:t>administracji i</w:t>
      </w:r>
      <w:r w:rsidR="003729CE" w:rsidRPr="00023A0F">
        <w:rPr>
          <w:szCs w:val="24"/>
        </w:rPr>
        <w:t> </w:t>
      </w:r>
      <w:r w:rsidRPr="00023A0F">
        <w:rPr>
          <w:szCs w:val="24"/>
        </w:rPr>
        <w:t>służbie publicznej”</w:t>
      </w:r>
      <w:r w:rsidR="003A4764" w:rsidRPr="00023A0F">
        <w:rPr>
          <w:szCs w:val="24"/>
        </w:rPr>
        <w:t>, zmieniona uchwałą nr 7/2017 Rady Nadzorczej PFRON z dnia 17 lipca 2017 r.</w:t>
      </w:r>
      <w:r w:rsidR="00023A0F" w:rsidRPr="00023A0F">
        <w:rPr>
          <w:szCs w:val="24"/>
        </w:rPr>
        <w:t xml:space="preserve"> oraz uchwałą nr</w:t>
      </w:r>
      <w:r w:rsidR="00AE7A9F">
        <w:rPr>
          <w:szCs w:val="24"/>
        </w:rPr>
        <w:t xml:space="preserve"> 4</w:t>
      </w:r>
      <w:r w:rsidR="00023A0F" w:rsidRPr="00023A0F">
        <w:rPr>
          <w:szCs w:val="24"/>
        </w:rPr>
        <w:t>/201</w:t>
      </w:r>
      <w:r w:rsidR="0018291E">
        <w:rPr>
          <w:szCs w:val="24"/>
        </w:rPr>
        <w:t>9</w:t>
      </w:r>
      <w:r w:rsidR="00023A0F" w:rsidRPr="00023A0F">
        <w:rPr>
          <w:szCs w:val="24"/>
        </w:rPr>
        <w:t xml:space="preserve"> Rady Nadzorczej PFRON z dnia </w:t>
      </w:r>
      <w:r w:rsidR="00AE7A9F">
        <w:rPr>
          <w:szCs w:val="24"/>
        </w:rPr>
        <w:t xml:space="preserve">20 marca </w:t>
      </w:r>
      <w:r w:rsidR="00023A0F" w:rsidRPr="00023A0F">
        <w:rPr>
          <w:szCs w:val="24"/>
        </w:rPr>
        <w:t>201</w:t>
      </w:r>
      <w:r w:rsidR="0018291E">
        <w:rPr>
          <w:szCs w:val="24"/>
        </w:rPr>
        <w:t>9</w:t>
      </w:r>
      <w:r w:rsidR="00023A0F" w:rsidRPr="00023A0F">
        <w:rPr>
          <w:szCs w:val="24"/>
        </w:rPr>
        <w:t> r.</w:t>
      </w:r>
    </w:p>
    <w:p w14:paraId="4B58D759" w14:textId="77777777" w:rsidR="00DB01D4" w:rsidRPr="00023A0F" w:rsidRDefault="00EA7009" w:rsidP="00B36169">
      <w:pPr>
        <w:pStyle w:val="NormalnyWeb"/>
        <w:spacing w:before="480" w:beforeAutospacing="0" w:after="240" w:afterAutospacing="0"/>
        <w:ind w:left="567" w:hanging="567"/>
        <w:jc w:val="both"/>
        <w:rPr>
          <w:b/>
          <w:sz w:val="32"/>
          <w:szCs w:val="32"/>
        </w:rPr>
      </w:pPr>
      <w:r w:rsidRPr="00023A0F">
        <w:rPr>
          <w:b/>
          <w:sz w:val="32"/>
          <w:szCs w:val="32"/>
        </w:rPr>
        <w:lastRenderedPageBreak/>
        <w:t>II</w:t>
      </w:r>
      <w:r w:rsidR="00DB01D4" w:rsidRPr="00023A0F">
        <w:rPr>
          <w:b/>
          <w:sz w:val="32"/>
          <w:szCs w:val="32"/>
        </w:rPr>
        <w:t>I.</w:t>
      </w:r>
      <w:r w:rsidR="00DB01D4" w:rsidRPr="00023A0F">
        <w:rPr>
          <w:b/>
          <w:sz w:val="32"/>
          <w:szCs w:val="32"/>
        </w:rPr>
        <w:tab/>
        <w:t>Postanowienia ogólne</w:t>
      </w:r>
    </w:p>
    <w:p w14:paraId="2A4A4B9F" w14:textId="77777777" w:rsidR="007E17EC" w:rsidRPr="007E17EC" w:rsidRDefault="007E17EC" w:rsidP="00555334">
      <w:pPr>
        <w:numPr>
          <w:ilvl w:val="0"/>
          <w:numId w:val="36"/>
        </w:numPr>
        <w:jc w:val="both"/>
        <w:rPr>
          <w:rFonts w:cs="Times New Roman"/>
        </w:rPr>
      </w:pPr>
      <w:r w:rsidRPr="007E17EC">
        <w:rPr>
          <w:rFonts w:cs="Times New Roman"/>
        </w:rPr>
        <w:t>Program realizowany jest w ramach dwóch modułów:</w:t>
      </w:r>
    </w:p>
    <w:p w14:paraId="7F43E7E0" w14:textId="77777777" w:rsidR="007E17EC" w:rsidRPr="007E17EC" w:rsidRDefault="007E17EC" w:rsidP="00555334">
      <w:pPr>
        <w:numPr>
          <w:ilvl w:val="0"/>
          <w:numId w:val="3"/>
        </w:numPr>
        <w:spacing w:before="60"/>
        <w:jc w:val="both"/>
        <w:rPr>
          <w:rFonts w:eastAsia="Calibri" w:cs="Times New Roman"/>
          <w:lang w:eastAsia="en-US"/>
        </w:rPr>
      </w:pPr>
      <w:r w:rsidRPr="007E17EC">
        <w:rPr>
          <w:rFonts w:eastAsia="Calibri" w:cs="Times New Roman"/>
          <w:lang w:eastAsia="en-US"/>
        </w:rPr>
        <w:t>moduł I „Instytucje” – adresowany do organów i instytucji wykonujących zadania z zakresu administracji publicznej, jednostek samorządu terytorialnego oraz państwowych i samorządowych instytucji kultury, które w ramach programu zatrudnią osoby niepełnosprawne;</w:t>
      </w:r>
    </w:p>
    <w:p w14:paraId="6B2389C3" w14:textId="77777777" w:rsidR="007E17EC" w:rsidRPr="007E17EC" w:rsidRDefault="007E17EC" w:rsidP="00555334">
      <w:pPr>
        <w:numPr>
          <w:ilvl w:val="0"/>
          <w:numId w:val="3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7E17EC">
        <w:rPr>
          <w:rFonts w:eastAsia="Calibri" w:cs="Times New Roman"/>
          <w:lang w:eastAsia="en-US"/>
        </w:rPr>
        <w:t xml:space="preserve">moduł II „Staże zawodowe” </w:t>
      </w:r>
      <w:r w:rsidR="00FE6658" w:rsidRPr="00FE6658">
        <w:rPr>
          <w:rFonts w:eastAsia="Calibri" w:cs="Times New Roman"/>
          <w:lang w:eastAsia="en-US"/>
        </w:rPr>
        <w:t xml:space="preserve">realizowany w drodze otwartego konkursu </w:t>
      </w:r>
      <w:r w:rsidRPr="007E17EC">
        <w:rPr>
          <w:rFonts w:eastAsia="Calibri" w:cs="Times New Roman"/>
          <w:lang w:eastAsia="en-US"/>
        </w:rPr>
        <w:t>– adresowany do</w:t>
      </w:r>
      <w:r w:rsidR="00FE6658">
        <w:rPr>
          <w:rFonts w:eastAsia="Calibri" w:cs="Times New Roman"/>
          <w:lang w:eastAsia="en-US"/>
        </w:rPr>
        <w:t> </w:t>
      </w:r>
      <w:r w:rsidRPr="007E17EC">
        <w:rPr>
          <w:rFonts w:eastAsia="Calibri" w:cs="Times New Roman"/>
          <w:lang w:eastAsia="en-US"/>
        </w:rPr>
        <w:t>organizacji pozarządowych, które w ramach programu przygotują i skierują osoby niepełnosprawne na staż zawodowy w administracji rządowej.</w:t>
      </w:r>
    </w:p>
    <w:p w14:paraId="4E824DC7" w14:textId="77777777" w:rsidR="00EA3721" w:rsidRPr="00023A0F" w:rsidRDefault="00EA3721" w:rsidP="00555334">
      <w:pPr>
        <w:numPr>
          <w:ilvl w:val="0"/>
          <w:numId w:val="36"/>
        </w:numPr>
        <w:spacing w:before="120"/>
        <w:jc w:val="both"/>
        <w:rPr>
          <w:rFonts w:cs="Times New Roman"/>
        </w:rPr>
      </w:pPr>
      <w:r w:rsidRPr="00023A0F">
        <w:rPr>
          <w:rFonts w:cs="Times New Roman"/>
        </w:rPr>
        <w:t xml:space="preserve">W programie, stanowiącym załącznik do uchwały Rady Nadzorczej PFRON, </w:t>
      </w:r>
      <w:r w:rsidR="002B2CF0" w:rsidRPr="00023A0F">
        <w:rPr>
          <w:rFonts w:cs="Times New Roman"/>
        </w:rPr>
        <w:t xml:space="preserve">określone </w:t>
      </w:r>
      <w:r w:rsidRPr="00023A0F">
        <w:rPr>
          <w:rFonts w:cs="Times New Roman"/>
        </w:rPr>
        <w:t>zostały w</w:t>
      </w:r>
      <w:r w:rsidR="002B2CF0" w:rsidRPr="00023A0F">
        <w:rPr>
          <w:rFonts w:cs="Times New Roman"/>
        </w:rPr>
        <w:t> </w:t>
      </w:r>
      <w:r w:rsidRPr="00023A0F">
        <w:rPr>
          <w:rFonts w:cs="Times New Roman"/>
        </w:rPr>
        <w:t>szczególności:</w:t>
      </w:r>
    </w:p>
    <w:p w14:paraId="77EEB7F0" w14:textId="77777777" w:rsidR="00EA3721" w:rsidRPr="002A2D85" w:rsidRDefault="00EA3721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cele programu</w:t>
      </w:r>
      <w:r w:rsidR="002C5F58" w:rsidRPr="002A2D85">
        <w:rPr>
          <w:rFonts w:eastAsia="Calibri" w:cs="Times New Roman"/>
          <w:lang w:eastAsia="en-US"/>
        </w:rPr>
        <w:t xml:space="preserve"> –</w:t>
      </w:r>
      <w:r w:rsidR="000D3F81">
        <w:rPr>
          <w:rFonts w:eastAsia="Calibri" w:cs="Times New Roman"/>
          <w:lang w:eastAsia="en-US"/>
        </w:rPr>
        <w:t xml:space="preserve"> </w:t>
      </w:r>
      <w:r w:rsidR="002C5F58" w:rsidRPr="002A2D85">
        <w:rPr>
          <w:rFonts w:eastAsia="Calibri" w:cs="Times New Roman"/>
          <w:lang w:eastAsia="en-US"/>
        </w:rPr>
        <w:t>w rozdziale IV programu</w:t>
      </w:r>
      <w:r w:rsidRPr="002A2D85">
        <w:rPr>
          <w:rFonts w:eastAsia="Calibri" w:cs="Times New Roman"/>
          <w:lang w:eastAsia="en-US"/>
        </w:rPr>
        <w:t>;</w:t>
      </w:r>
    </w:p>
    <w:p w14:paraId="1C135A91" w14:textId="77777777" w:rsidR="00EA3721" w:rsidRPr="002A2D85" w:rsidRDefault="00EA3721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zasięg</w:t>
      </w:r>
      <w:r w:rsidR="00023A0F" w:rsidRPr="002A2D85">
        <w:rPr>
          <w:rFonts w:eastAsia="Calibri" w:cs="Times New Roman"/>
          <w:lang w:eastAsia="en-US"/>
        </w:rPr>
        <w:t xml:space="preserve">, </w:t>
      </w:r>
      <w:r w:rsidRPr="002A2D85">
        <w:rPr>
          <w:rFonts w:eastAsia="Calibri" w:cs="Times New Roman"/>
          <w:lang w:eastAsia="en-US"/>
        </w:rPr>
        <w:t xml:space="preserve">okres </w:t>
      </w:r>
      <w:r w:rsidR="00023A0F" w:rsidRPr="002A2D85">
        <w:rPr>
          <w:rFonts w:eastAsia="Calibri" w:cs="Times New Roman"/>
          <w:lang w:eastAsia="en-US"/>
        </w:rPr>
        <w:t xml:space="preserve">i moduły </w:t>
      </w:r>
      <w:r w:rsidRPr="002A2D85">
        <w:rPr>
          <w:rFonts w:eastAsia="Calibri" w:cs="Times New Roman"/>
          <w:lang w:eastAsia="en-US"/>
        </w:rPr>
        <w:t>realizacji programu</w:t>
      </w:r>
      <w:r w:rsidR="002C5F58" w:rsidRPr="002A2D85">
        <w:rPr>
          <w:rFonts w:eastAsia="Calibri" w:cs="Times New Roman"/>
          <w:lang w:eastAsia="en-US"/>
        </w:rPr>
        <w:t xml:space="preserve"> – w rozdziale V programu</w:t>
      </w:r>
      <w:r w:rsidRPr="002A2D85">
        <w:rPr>
          <w:rFonts w:eastAsia="Calibri" w:cs="Times New Roman"/>
          <w:lang w:eastAsia="en-US"/>
        </w:rPr>
        <w:t>;</w:t>
      </w:r>
    </w:p>
    <w:p w14:paraId="2D862134" w14:textId="77777777" w:rsidR="002B2CF0" w:rsidRPr="002A2D85" w:rsidRDefault="00865953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 xml:space="preserve">podmioty uprawione do udziału w programie </w:t>
      </w:r>
      <w:r w:rsidR="002C5F58" w:rsidRPr="002A2D85">
        <w:rPr>
          <w:rFonts w:eastAsia="Calibri" w:cs="Times New Roman"/>
          <w:lang w:eastAsia="en-US"/>
        </w:rPr>
        <w:t>(</w:t>
      </w:r>
      <w:r w:rsidR="002B2CF0" w:rsidRPr="002A2D85">
        <w:rPr>
          <w:rFonts w:eastAsia="Calibri" w:cs="Times New Roman"/>
          <w:lang w:eastAsia="en-US"/>
        </w:rPr>
        <w:t>adresaci</w:t>
      </w:r>
      <w:r w:rsidRPr="002A2D85">
        <w:rPr>
          <w:rFonts w:eastAsia="Calibri" w:cs="Times New Roman"/>
          <w:lang w:eastAsia="en-US"/>
        </w:rPr>
        <w:t xml:space="preserve"> </w:t>
      </w:r>
      <w:r w:rsidR="002B2CF0" w:rsidRPr="002A2D85">
        <w:rPr>
          <w:rFonts w:eastAsia="Calibri" w:cs="Times New Roman"/>
          <w:lang w:eastAsia="en-US"/>
        </w:rPr>
        <w:t>programu, wnioskodawcy i</w:t>
      </w:r>
      <w:r w:rsidRPr="002A2D85">
        <w:rPr>
          <w:rFonts w:eastAsia="Calibri" w:cs="Times New Roman"/>
          <w:lang w:eastAsia="en-US"/>
        </w:rPr>
        <w:t> </w:t>
      </w:r>
      <w:r w:rsidR="002B2CF0" w:rsidRPr="002A2D85">
        <w:rPr>
          <w:rFonts w:eastAsia="Calibri" w:cs="Times New Roman"/>
          <w:lang w:eastAsia="en-US"/>
        </w:rPr>
        <w:t>beneficjenci ostateczni</w:t>
      </w:r>
      <w:r w:rsidR="002C5F58" w:rsidRPr="002A2D85">
        <w:rPr>
          <w:rFonts w:eastAsia="Calibri" w:cs="Times New Roman"/>
          <w:lang w:eastAsia="en-US"/>
        </w:rPr>
        <w:t>) – w rozdziale VI programu</w:t>
      </w:r>
      <w:r w:rsidR="002B2CF0" w:rsidRPr="002A2D85">
        <w:rPr>
          <w:rFonts w:eastAsia="Calibri" w:cs="Times New Roman"/>
          <w:lang w:eastAsia="en-US"/>
        </w:rPr>
        <w:t>;</w:t>
      </w:r>
    </w:p>
    <w:p w14:paraId="0DB48808" w14:textId="77777777" w:rsidR="00EA3721" w:rsidRPr="002A2D85" w:rsidRDefault="00EA3721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warunki uczestnictwa w programie</w:t>
      </w:r>
      <w:r w:rsidR="002C5F58" w:rsidRPr="002A2D85">
        <w:rPr>
          <w:rFonts w:eastAsia="Calibri" w:cs="Times New Roman"/>
          <w:lang w:eastAsia="en-US"/>
        </w:rPr>
        <w:t xml:space="preserve"> – w rozdziale VII programu</w:t>
      </w:r>
      <w:r w:rsidRPr="002A2D85">
        <w:rPr>
          <w:rFonts w:eastAsia="Calibri" w:cs="Times New Roman"/>
          <w:lang w:eastAsia="en-US"/>
        </w:rPr>
        <w:t>;</w:t>
      </w:r>
    </w:p>
    <w:p w14:paraId="61D360F6" w14:textId="77777777" w:rsidR="00EA3721" w:rsidRPr="002A2D85" w:rsidRDefault="002B2CF0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formy i zakres pomocy</w:t>
      </w:r>
      <w:r w:rsidR="002C5F58" w:rsidRPr="002A2D85">
        <w:rPr>
          <w:rFonts w:eastAsia="Calibri" w:cs="Times New Roman"/>
          <w:lang w:eastAsia="en-US"/>
        </w:rPr>
        <w:t xml:space="preserve"> </w:t>
      </w:r>
      <w:r w:rsidR="00023A0F" w:rsidRPr="002A2D85">
        <w:rPr>
          <w:rFonts w:eastAsia="Calibri" w:cs="Times New Roman"/>
          <w:lang w:eastAsia="en-US"/>
        </w:rPr>
        <w:t xml:space="preserve">w ramach modułu I „Instytucje” </w:t>
      </w:r>
      <w:r w:rsidR="002C5F58" w:rsidRPr="002A2D85">
        <w:rPr>
          <w:rFonts w:eastAsia="Calibri" w:cs="Times New Roman"/>
          <w:lang w:eastAsia="en-US"/>
        </w:rPr>
        <w:t>– w rozdziale VIII programu</w:t>
      </w:r>
      <w:r w:rsidRPr="002A2D85">
        <w:rPr>
          <w:rFonts w:eastAsia="Calibri" w:cs="Times New Roman"/>
          <w:lang w:eastAsia="en-US"/>
        </w:rPr>
        <w:t>;</w:t>
      </w:r>
    </w:p>
    <w:p w14:paraId="053BB734" w14:textId="77777777" w:rsidR="002B2CF0" w:rsidRPr="002A2D85" w:rsidRDefault="002B2CF0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warunki pomocy</w:t>
      </w:r>
      <w:r w:rsidR="002C5F58" w:rsidRPr="002A2D85">
        <w:rPr>
          <w:rFonts w:eastAsia="Calibri" w:cs="Times New Roman"/>
          <w:lang w:eastAsia="en-US"/>
        </w:rPr>
        <w:t xml:space="preserve"> </w:t>
      </w:r>
      <w:r w:rsidR="00023A0F" w:rsidRPr="002A2D85">
        <w:rPr>
          <w:rFonts w:eastAsia="Calibri" w:cs="Times New Roman"/>
          <w:lang w:eastAsia="en-US"/>
        </w:rPr>
        <w:t xml:space="preserve">w ramach modułu I „Instytucje” </w:t>
      </w:r>
      <w:r w:rsidR="002C5F58" w:rsidRPr="002A2D85">
        <w:rPr>
          <w:rFonts w:eastAsia="Calibri" w:cs="Times New Roman"/>
          <w:lang w:eastAsia="en-US"/>
        </w:rPr>
        <w:t>– w rozdziale IX programu</w:t>
      </w:r>
      <w:r w:rsidRPr="002A2D85">
        <w:rPr>
          <w:rFonts w:eastAsia="Calibri" w:cs="Times New Roman"/>
          <w:lang w:eastAsia="en-US"/>
        </w:rPr>
        <w:t>;</w:t>
      </w:r>
    </w:p>
    <w:p w14:paraId="5EF006B4" w14:textId="77777777" w:rsidR="00023A0F" w:rsidRPr="002A2D85" w:rsidRDefault="00023A0F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formy i zakres pomocy w ramach modułu II „Staże zawodowe” – w rozdziale X programu;</w:t>
      </w:r>
    </w:p>
    <w:p w14:paraId="393E05CD" w14:textId="77777777" w:rsidR="00023A0F" w:rsidRPr="002A2D85" w:rsidRDefault="00023A0F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warunki pomocy w ramach modułu II „Staże zawodowe” – w rozdziale XI programu;</w:t>
      </w:r>
    </w:p>
    <w:p w14:paraId="1B715E38" w14:textId="77777777" w:rsidR="002B2CF0" w:rsidRPr="002A2D85" w:rsidRDefault="002B2CF0" w:rsidP="00555334">
      <w:pPr>
        <w:numPr>
          <w:ilvl w:val="0"/>
          <w:numId w:val="37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źródła finansowania programu</w:t>
      </w:r>
      <w:r w:rsidR="002C5F58" w:rsidRPr="002A2D85">
        <w:rPr>
          <w:rFonts w:eastAsia="Calibri" w:cs="Times New Roman"/>
          <w:lang w:eastAsia="en-US"/>
        </w:rPr>
        <w:t xml:space="preserve"> – w rozdziale XI</w:t>
      </w:r>
      <w:r w:rsidR="00023A0F" w:rsidRPr="002A2D85">
        <w:rPr>
          <w:rFonts w:eastAsia="Calibri" w:cs="Times New Roman"/>
          <w:lang w:eastAsia="en-US"/>
        </w:rPr>
        <w:t>II</w:t>
      </w:r>
      <w:r w:rsidR="002C5F58" w:rsidRPr="002A2D85">
        <w:rPr>
          <w:rFonts w:eastAsia="Calibri" w:cs="Times New Roman"/>
          <w:lang w:eastAsia="en-US"/>
        </w:rPr>
        <w:t xml:space="preserve"> programu</w:t>
      </w:r>
      <w:r w:rsidRPr="002A2D85">
        <w:rPr>
          <w:rFonts w:eastAsia="Calibri" w:cs="Times New Roman"/>
          <w:lang w:eastAsia="en-US"/>
        </w:rPr>
        <w:t>.</w:t>
      </w:r>
    </w:p>
    <w:p w14:paraId="67384E87" w14:textId="77777777" w:rsidR="00DB01D4" w:rsidRPr="00023A0F" w:rsidRDefault="00EA3721" w:rsidP="00555334">
      <w:pPr>
        <w:numPr>
          <w:ilvl w:val="0"/>
          <w:numId w:val="36"/>
        </w:numPr>
        <w:spacing w:before="120"/>
        <w:jc w:val="both"/>
        <w:rPr>
          <w:rFonts w:cs="Times New Roman"/>
        </w:rPr>
      </w:pPr>
      <w:r w:rsidRPr="00023A0F">
        <w:rPr>
          <w:rFonts w:cs="Times New Roman"/>
        </w:rPr>
        <w:t>W niniejszym dokumencie</w:t>
      </w:r>
      <w:r w:rsidR="002B2CF0" w:rsidRPr="00023A0F">
        <w:rPr>
          <w:rFonts w:cs="Times New Roman"/>
        </w:rPr>
        <w:t xml:space="preserve">, stanowiącym integralną część programu, </w:t>
      </w:r>
      <w:r w:rsidRPr="00023A0F">
        <w:rPr>
          <w:rFonts w:cs="Times New Roman"/>
        </w:rPr>
        <w:t>uregulowane zostały</w:t>
      </w:r>
      <w:r w:rsidR="00DB01D4" w:rsidRPr="00023A0F">
        <w:rPr>
          <w:rFonts w:cs="Times New Roman"/>
        </w:rPr>
        <w:t>:</w:t>
      </w:r>
    </w:p>
    <w:p w14:paraId="7629761E" w14:textId="77777777" w:rsidR="009D3C73" w:rsidRPr="002A2D85" w:rsidRDefault="00995F12" w:rsidP="00555334">
      <w:pPr>
        <w:numPr>
          <w:ilvl w:val="0"/>
          <w:numId w:val="38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 xml:space="preserve">zasady </w:t>
      </w:r>
      <w:r w:rsidR="009D3C73" w:rsidRPr="002A2D85">
        <w:rPr>
          <w:rFonts w:eastAsia="Calibri" w:cs="Times New Roman"/>
          <w:lang w:eastAsia="en-US"/>
        </w:rPr>
        <w:t xml:space="preserve">składania </w:t>
      </w:r>
      <w:r w:rsidR="00B27ADB" w:rsidRPr="002A2D85">
        <w:rPr>
          <w:rFonts w:eastAsia="Calibri" w:cs="Times New Roman"/>
          <w:lang w:eastAsia="en-US"/>
        </w:rPr>
        <w:t xml:space="preserve">oraz </w:t>
      </w:r>
      <w:r w:rsidRPr="002A2D85">
        <w:rPr>
          <w:rFonts w:eastAsia="Calibri" w:cs="Times New Roman"/>
          <w:lang w:eastAsia="en-US"/>
        </w:rPr>
        <w:t xml:space="preserve">tryb </w:t>
      </w:r>
      <w:r w:rsidR="009D3C73" w:rsidRPr="002A2D85">
        <w:rPr>
          <w:rFonts w:eastAsia="Calibri" w:cs="Times New Roman"/>
          <w:lang w:eastAsia="en-US"/>
        </w:rPr>
        <w:t>rozpatrywania wniosków</w:t>
      </w:r>
      <w:r w:rsidR="00A52665" w:rsidRPr="002A2D85">
        <w:rPr>
          <w:rFonts w:eastAsia="Calibri" w:cs="Times New Roman"/>
          <w:lang w:eastAsia="en-US"/>
        </w:rPr>
        <w:t xml:space="preserve"> w ramach modułu I „Instytucje”</w:t>
      </w:r>
      <w:r w:rsidR="009D3C73" w:rsidRPr="002A2D85">
        <w:rPr>
          <w:rFonts w:eastAsia="Calibri" w:cs="Times New Roman"/>
          <w:lang w:eastAsia="en-US"/>
        </w:rPr>
        <w:t>;</w:t>
      </w:r>
    </w:p>
    <w:p w14:paraId="2FA55E60" w14:textId="77777777" w:rsidR="00AB6B5D" w:rsidRPr="002A2D85" w:rsidRDefault="00AB6B5D" w:rsidP="00555334">
      <w:pPr>
        <w:numPr>
          <w:ilvl w:val="0"/>
          <w:numId w:val="38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zasady przekazywania i rozliczania środków PFRON w ramach modułu I „Instytucje”;</w:t>
      </w:r>
    </w:p>
    <w:p w14:paraId="76225DEA" w14:textId="77777777" w:rsidR="00555D26" w:rsidRPr="002A2D85" w:rsidRDefault="00555D26" w:rsidP="00555334">
      <w:pPr>
        <w:numPr>
          <w:ilvl w:val="0"/>
          <w:numId w:val="38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zasady kwalifikowalności kosztów w ramach modułu I „Instytucje”;</w:t>
      </w:r>
    </w:p>
    <w:p w14:paraId="1F79E06E" w14:textId="77777777" w:rsidR="00A52665" w:rsidRPr="002A2D85" w:rsidRDefault="00A52665" w:rsidP="00555334">
      <w:pPr>
        <w:numPr>
          <w:ilvl w:val="0"/>
          <w:numId w:val="38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zasady składania oraz tryb rozpatrywania wniosków w ramach modułu II „Staże zawodowe”;</w:t>
      </w:r>
    </w:p>
    <w:p w14:paraId="21A3B0B5" w14:textId="77777777" w:rsidR="00555D26" w:rsidRPr="002A2D85" w:rsidRDefault="00555D26" w:rsidP="00555334">
      <w:pPr>
        <w:numPr>
          <w:ilvl w:val="0"/>
          <w:numId w:val="38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zasady przekazywania i rozliczania środków PFRON w ra</w:t>
      </w:r>
      <w:r>
        <w:rPr>
          <w:rFonts w:eastAsia="Calibri" w:cs="Times New Roman"/>
          <w:lang w:eastAsia="en-US"/>
        </w:rPr>
        <w:t>mach modułu II „Staże zawodowe”;</w:t>
      </w:r>
    </w:p>
    <w:p w14:paraId="1FBED3F1" w14:textId="77777777" w:rsidR="00AB6B5D" w:rsidRPr="002A2D85" w:rsidRDefault="00AB6B5D" w:rsidP="00555334">
      <w:pPr>
        <w:numPr>
          <w:ilvl w:val="0"/>
          <w:numId w:val="38"/>
        </w:numPr>
        <w:spacing w:before="60"/>
        <w:ind w:left="714" w:hanging="357"/>
        <w:jc w:val="both"/>
        <w:rPr>
          <w:rFonts w:eastAsia="Calibri" w:cs="Times New Roman"/>
          <w:lang w:eastAsia="en-US"/>
        </w:rPr>
      </w:pPr>
      <w:r w:rsidRPr="002A2D85">
        <w:rPr>
          <w:rFonts w:eastAsia="Calibri" w:cs="Times New Roman"/>
          <w:lang w:eastAsia="en-US"/>
        </w:rPr>
        <w:t>zasady kwalifikowalności kosztów w ra</w:t>
      </w:r>
      <w:r w:rsidR="00555D26">
        <w:rPr>
          <w:rFonts w:eastAsia="Calibri" w:cs="Times New Roman"/>
          <w:lang w:eastAsia="en-US"/>
        </w:rPr>
        <w:t>mach modułu II „Staże zawodowe”.</w:t>
      </w:r>
    </w:p>
    <w:p w14:paraId="76D58343" w14:textId="77777777" w:rsidR="00CC6ACC" w:rsidRPr="00023A0F" w:rsidRDefault="00281E3E" w:rsidP="009B13DF">
      <w:pPr>
        <w:pStyle w:val="NormalnyWeb"/>
        <w:spacing w:before="480" w:beforeAutospacing="0" w:after="240" w:afterAutospacing="0"/>
        <w:ind w:left="567" w:hanging="567"/>
        <w:jc w:val="both"/>
        <w:rPr>
          <w:b/>
          <w:sz w:val="32"/>
          <w:szCs w:val="32"/>
        </w:rPr>
      </w:pPr>
      <w:r w:rsidRPr="00023A0F">
        <w:rPr>
          <w:b/>
          <w:sz w:val="32"/>
          <w:szCs w:val="32"/>
        </w:rPr>
        <w:t>I</w:t>
      </w:r>
      <w:r w:rsidR="00CC6ACC" w:rsidRPr="00023A0F">
        <w:rPr>
          <w:b/>
          <w:sz w:val="32"/>
          <w:szCs w:val="32"/>
        </w:rPr>
        <w:t>V.</w:t>
      </w:r>
      <w:r w:rsidR="00CC6ACC" w:rsidRPr="00023A0F">
        <w:rPr>
          <w:b/>
          <w:sz w:val="32"/>
          <w:szCs w:val="32"/>
        </w:rPr>
        <w:tab/>
        <w:t>Zasady składania oraz tryb rozpatrywania wniosków</w:t>
      </w:r>
      <w:r w:rsidR="00FE6658">
        <w:rPr>
          <w:b/>
          <w:sz w:val="32"/>
          <w:szCs w:val="32"/>
        </w:rPr>
        <w:t xml:space="preserve"> w ramach modułu I „Instytucje”</w:t>
      </w:r>
    </w:p>
    <w:p w14:paraId="7819A2D0" w14:textId="77777777" w:rsidR="00E614A4" w:rsidRPr="00023A0F" w:rsidRDefault="00281E3E" w:rsidP="002C5B08">
      <w:pPr>
        <w:pStyle w:val="NormalnyWeb"/>
        <w:spacing w:before="360" w:beforeAutospacing="0" w:after="240" w:afterAutospacing="0"/>
        <w:ind w:left="680" w:hanging="680"/>
        <w:jc w:val="both"/>
        <w:rPr>
          <w:b/>
          <w:sz w:val="28"/>
          <w:szCs w:val="28"/>
        </w:rPr>
      </w:pPr>
      <w:r w:rsidRPr="00023A0F">
        <w:rPr>
          <w:b/>
          <w:sz w:val="28"/>
          <w:szCs w:val="28"/>
        </w:rPr>
        <w:t>I</w:t>
      </w:r>
      <w:r w:rsidR="00E614A4" w:rsidRPr="00023A0F">
        <w:rPr>
          <w:b/>
          <w:sz w:val="28"/>
          <w:szCs w:val="28"/>
        </w:rPr>
        <w:t>V.1.</w:t>
      </w:r>
      <w:r w:rsidR="00E614A4" w:rsidRPr="00023A0F">
        <w:rPr>
          <w:b/>
          <w:sz w:val="28"/>
          <w:szCs w:val="28"/>
        </w:rPr>
        <w:tab/>
        <w:t>Zasady i termin składania wniosków</w:t>
      </w:r>
      <w:r w:rsidR="00AB6B5D" w:rsidRPr="00AB6B5D">
        <w:t xml:space="preserve"> </w:t>
      </w:r>
      <w:r w:rsidR="00AB6B5D" w:rsidRPr="00AB6B5D">
        <w:rPr>
          <w:b/>
          <w:sz w:val="28"/>
          <w:szCs w:val="28"/>
        </w:rPr>
        <w:t>w ramach modułu I „Instytucje”</w:t>
      </w:r>
    </w:p>
    <w:p w14:paraId="0A8800F9" w14:textId="77777777" w:rsidR="005432C2" w:rsidRPr="00023A0F" w:rsidRDefault="005A665D" w:rsidP="00CF46F1">
      <w:pPr>
        <w:numPr>
          <w:ilvl w:val="0"/>
          <w:numId w:val="1"/>
        </w:numPr>
        <w:spacing w:before="120"/>
        <w:ind w:left="357" w:hanging="357"/>
        <w:jc w:val="both"/>
        <w:rPr>
          <w:rFonts w:cs="Times New Roman"/>
        </w:rPr>
      </w:pPr>
      <w:bookmarkStart w:id="1" w:name="_Hlk8921673"/>
      <w:r w:rsidRPr="00023A0F">
        <w:rPr>
          <w:rFonts w:cs="Times New Roman"/>
        </w:rPr>
        <w:t xml:space="preserve">Wnioskodawcy </w:t>
      </w:r>
      <w:r w:rsidR="005432C2" w:rsidRPr="00023A0F">
        <w:rPr>
          <w:rFonts w:cs="Times New Roman"/>
        </w:rPr>
        <w:t>składają</w:t>
      </w:r>
      <w:r w:rsidR="00225849" w:rsidRPr="00023A0F">
        <w:rPr>
          <w:rFonts w:cs="Times New Roman"/>
        </w:rPr>
        <w:t xml:space="preserve"> </w:t>
      </w:r>
      <w:r w:rsidR="005432C2" w:rsidRPr="00023A0F">
        <w:rPr>
          <w:rFonts w:cs="Times New Roman"/>
        </w:rPr>
        <w:t>wnioski w</w:t>
      </w:r>
      <w:r w:rsidR="00225849" w:rsidRPr="00023A0F">
        <w:rPr>
          <w:rFonts w:cs="Times New Roman"/>
        </w:rPr>
        <w:t xml:space="preserve"> </w:t>
      </w:r>
      <w:r w:rsidR="005432C2" w:rsidRPr="00023A0F">
        <w:rPr>
          <w:rFonts w:cs="Times New Roman"/>
        </w:rPr>
        <w:t>Oddziałach PFRON właściwych terytorialnie ze względu na</w:t>
      </w:r>
      <w:r w:rsidR="00FE7795">
        <w:rPr>
          <w:rFonts w:cs="Times New Roman"/>
        </w:rPr>
        <w:t> </w:t>
      </w:r>
      <w:r w:rsidR="005432C2" w:rsidRPr="00023A0F">
        <w:rPr>
          <w:rFonts w:cs="Times New Roman"/>
        </w:rPr>
        <w:t>miejsce</w:t>
      </w:r>
      <w:r w:rsidR="003A4764" w:rsidRPr="00023A0F">
        <w:rPr>
          <w:rFonts w:cs="Times New Roman"/>
        </w:rPr>
        <w:t xml:space="preserve"> zatrudnienia beneficjentów ostatecznych</w:t>
      </w:r>
      <w:r w:rsidR="005432C2" w:rsidRPr="00023A0F">
        <w:rPr>
          <w:rFonts w:cs="Times New Roman"/>
        </w:rPr>
        <w:t>.</w:t>
      </w:r>
      <w:r w:rsidR="00225849" w:rsidRPr="00023A0F">
        <w:rPr>
          <w:rFonts w:cs="Times New Roman"/>
        </w:rPr>
        <w:t xml:space="preserve"> Wnioski mogą być składane w trybie ciągłym</w:t>
      </w:r>
      <w:bookmarkEnd w:id="1"/>
      <w:r w:rsidR="00225849" w:rsidRPr="00023A0F">
        <w:rPr>
          <w:rFonts w:cs="Times New Roman"/>
        </w:rPr>
        <w:t>.</w:t>
      </w:r>
    </w:p>
    <w:p w14:paraId="1E9A0A3B" w14:textId="77777777" w:rsidR="00E20254" w:rsidRPr="00023A0F" w:rsidRDefault="005432C2" w:rsidP="00CF46F1">
      <w:pPr>
        <w:numPr>
          <w:ilvl w:val="0"/>
          <w:numId w:val="1"/>
        </w:numPr>
        <w:spacing w:before="120"/>
        <w:ind w:left="357" w:hanging="357"/>
        <w:jc w:val="both"/>
        <w:rPr>
          <w:rFonts w:cs="Times New Roman"/>
        </w:rPr>
      </w:pPr>
      <w:r w:rsidRPr="00023A0F">
        <w:rPr>
          <w:rFonts w:cs="Times New Roman"/>
        </w:rPr>
        <w:t>Wniosek sporządza się na formularzu, stanowiącym załącznik do procedur.</w:t>
      </w:r>
      <w:r w:rsidR="00A92A31" w:rsidRPr="00023A0F">
        <w:rPr>
          <w:rFonts w:cs="Times New Roman"/>
        </w:rPr>
        <w:t xml:space="preserve"> </w:t>
      </w:r>
      <w:r w:rsidR="00E20254" w:rsidRPr="00023A0F">
        <w:rPr>
          <w:rFonts w:cs="Times New Roman"/>
        </w:rPr>
        <w:t>W jednym wniosku może być zgłoszonych kilka działań aktywizacyjnych.</w:t>
      </w:r>
    </w:p>
    <w:p w14:paraId="16872EA3" w14:textId="77777777" w:rsidR="00FA2FD4" w:rsidRPr="00023A0F" w:rsidRDefault="00FA2FD4" w:rsidP="00CF46F1">
      <w:pPr>
        <w:numPr>
          <w:ilvl w:val="0"/>
          <w:numId w:val="1"/>
        </w:numPr>
        <w:spacing w:before="120"/>
        <w:ind w:left="357" w:hanging="357"/>
        <w:jc w:val="both"/>
        <w:rPr>
          <w:rFonts w:cs="Times New Roman"/>
        </w:rPr>
      </w:pPr>
      <w:r w:rsidRPr="00023A0F">
        <w:rPr>
          <w:rFonts w:cs="Times New Roman"/>
        </w:rPr>
        <w:t xml:space="preserve">Wymagane jest dostarczenie </w:t>
      </w:r>
      <w:r w:rsidR="00EF71BD" w:rsidRPr="00023A0F">
        <w:rPr>
          <w:rFonts w:cs="Times New Roman"/>
        </w:rPr>
        <w:t>(</w:t>
      </w:r>
      <w:r w:rsidR="00445BDC" w:rsidRPr="00023A0F">
        <w:rPr>
          <w:rFonts w:cs="Times New Roman"/>
        </w:rPr>
        <w:t>wraz</w:t>
      </w:r>
      <w:r w:rsidR="00EF71BD" w:rsidRPr="00023A0F">
        <w:rPr>
          <w:rFonts w:cs="Times New Roman"/>
        </w:rPr>
        <w:t xml:space="preserve"> z wnioskiem) </w:t>
      </w:r>
      <w:r w:rsidR="009F59EF" w:rsidRPr="00023A0F">
        <w:rPr>
          <w:rFonts w:cs="Times New Roman"/>
        </w:rPr>
        <w:t xml:space="preserve">budżetu działań aktywizacyjnych </w:t>
      </w:r>
      <w:r w:rsidR="003B513C" w:rsidRPr="00023A0F">
        <w:rPr>
          <w:rFonts w:cs="Times New Roman"/>
        </w:rPr>
        <w:t xml:space="preserve">również </w:t>
      </w:r>
      <w:r w:rsidRPr="00023A0F">
        <w:rPr>
          <w:rFonts w:cs="Times New Roman"/>
        </w:rPr>
        <w:t>w</w:t>
      </w:r>
      <w:r w:rsidR="00EF71BD" w:rsidRPr="00023A0F">
        <w:rPr>
          <w:rFonts w:cs="Times New Roman"/>
        </w:rPr>
        <w:t> </w:t>
      </w:r>
      <w:r w:rsidRPr="00023A0F">
        <w:rPr>
          <w:rFonts w:cs="Times New Roman"/>
        </w:rPr>
        <w:t xml:space="preserve">wersji elektronicznej </w:t>
      </w:r>
      <w:r w:rsidR="003B513C" w:rsidRPr="00023A0F">
        <w:rPr>
          <w:rFonts w:cs="Times New Roman"/>
        </w:rPr>
        <w:t>(plik MS Excel)</w:t>
      </w:r>
      <w:r w:rsidR="00A92A31" w:rsidRPr="00023A0F">
        <w:rPr>
          <w:rFonts w:cs="Times New Roman"/>
        </w:rPr>
        <w:t>.</w:t>
      </w:r>
    </w:p>
    <w:p w14:paraId="5B14D557" w14:textId="77777777" w:rsidR="005432C2" w:rsidRPr="00023A0F" w:rsidRDefault="005432C2" w:rsidP="00CF46F1">
      <w:pPr>
        <w:numPr>
          <w:ilvl w:val="0"/>
          <w:numId w:val="1"/>
        </w:numPr>
        <w:spacing w:before="120"/>
        <w:ind w:left="357" w:hanging="357"/>
        <w:jc w:val="both"/>
        <w:rPr>
          <w:rFonts w:cs="Times New Roman"/>
        </w:rPr>
      </w:pPr>
      <w:r w:rsidRPr="00023A0F">
        <w:rPr>
          <w:rFonts w:cs="Times New Roman"/>
        </w:rPr>
        <w:lastRenderedPageBreak/>
        <w:t xml:space="preserve">Za datę złożenia wniosku uważa się datę jego </w:t>
      </w:r>
      <w:r w:rsidR="00043D39" w:rsidRPr="00023A0F">
        <w:rPr>
          <w:rFonts w:cs="Times New Roman"/>
        </w:rPr>
        <w:t>wpływu</w:t>
      </w:r>
      <w:r w:rsidRPr="00023A0F">
        <w:rPr>
          <w:rFonts w:cs="Times New Roman"/>
        </w:rPr>
        <w:t xml:space="preserve"> do Oddziału PFRON, a</w:t>
      </w:r>
      <w:r w:rsidR="004E0A32" w:rsidRPr="00023A0F">
        <w:rPr>
          <w:rFonts w:cs="Times New Roman"/>
        </w:rPr>
        <w:t xml:space="preserve"> </w:t>
      </w:r>
      <w:r w:rsidRPr="00023A0F">
        <w:rPr>
          <w:rFonts w:cs="Times New Roman"/>
        </w:rPr>
        <w:t>w przypadku wniosków składanych drogą pocztową, datę stempla pocztowego.</w:t>
      </w:r>
    </w:p>
    <w:p w14:paraId="4949584D" w14:textId="77777777" w:rsidR="005432C2" w:rsidRPr="00023A0F" w:rsidRDefault="005432C2" w:rsidP="00FE7795">
      <w:pPr>
        <w:numPr>
          <w:ilvl w:val="0"/>
          <w:numId w:val="1"/>
        </w:numPr>
        <w:spacing w:before="120"/>
        <w:ind w:left="357" w:hanging="357"/>
        <w:jc w:val="both"/>
        <w:rPr>
          <w:rFonts w:cs="Times New Roman"/>
        </w:rPr>
      </w:pPr>
      <w:r w:rsidRPr="00023A0F">
        <w:rPr>
          <w:rFonts w:cs="Times New Roman"/>
        </w:rPr>
        <w:t>Wniosek stanowi ofertę zawarcia umowy cywilnoprawnej i jego rozpatrzenie nie podlega przepisom kodeksu postępowania administracyjnego.</w:t>
      </w:r>
    </w:p>
    <w:p w14:paraId="1DCD58D1" w14:textId="77777777" w:rsidR="004E0A32" w:rsidRPr="00023A0F" w:rsidRDefault="004E0A32" w:rsidP="00FE7795">
      <w:pPr>
        <w:numPr>
          <w:ilvl w:val="0"/>
          <w:numId w:val="1"/>
        </w:numPr>
        <w:spacing w:before="120"/>
        <w:ind w:left="357" w:hanging="357"/>
        <w:jc w:val="both"/>
        <w:rPr>
          <w:rFonts w:cs="Times New Roman"/>
        </w:rPr>
      </w:pPr>
      <w:r w:rsidRPr="00023A0F">
        <w:rPr>
          <w:rFonts w:cs="Times New Roman"/>
        </w:rPr>
        <w:t>PFRON nie refunduje kosztów związanych z przygotowaniem wniosku.</w:t>
      </w:r>
    </w:p>
    <w:p w14:paraId="69D51168" w14:textId="77777777" w:rsidR="00D313C3" w:rsidRPr="00023A0F" w:rsidRDefault="00281E3E" w:rsidP="002C5B08">
      <w:pPr>
        <w:pStyle w:val="NormalnyWeb"/>
        <w:spacing w:before="360" w:beforeAutospacing="0" w:after="240" w:afterAutospacing="0"/>
        <w:ind w:left="680" w:hanging="680"/>
        <w:jc w:val="both"/>
        <w:rPr>
          <w:b/>
          <w:sz w:val="28"/>
          <w:szCs w:val="28"/>
        </w:rPr>
      </w:pPr>
      <w:r w:rsidRPr="00023A0F">
        <w:rPr>
          <w:b/>
          <w:sz w:val="28"/>
          <w:szCs w:val="28"/>
        </w:rPr>
        <w:t>I</w:t>
      </w:r>
      <w:r w:rsidR="00D313C3" w:rsidRPr="00023A0F">
        <w:rPr>
          <w:b/>
          <w:sz w:val="28"/>
          <w:szCs w:val="28"/>
        </w:rPr>
        <w:t>V.2.</w:t>
      </w:r>
      <w:r w:rsidR="00D313C3" w:rsidRPr="00023A0F">
        <w:rPr>
          <w:b/>
          <w:sz w:val="28"/>
          <w:szCs w:val="28"/>
        </w:rPr>
        <w:tab/>
        <w:t>Ocena wniosków</w:t>
      </w:r>
      <w:r w:rsidR="00AB6B5D" w:rsidRPr="00AB6B5D">
        <w:t xml:space="preserve"> </w:t>
      </w:r>
      <w:r w:rsidR="00AB6B5D" w:rsidRPr="00AB6B5D">
        <w:rPr>
          <w:b/>
          <w:sz w:val="28"/>
          <w:szCs w:val="28"/>
        </w:rPr>
        <w:t>w ramach modułu I „Instytucje”</w:t>
      </w:r>
    </w:p>
    <w:p w14:paraId="2E09A790" w14:textId="77777777" w:rsidR="00024502" w:rsidRPr="00806708" w:rsidRDefault="00024502" w:rsidP="00555334">
      <w:pPr>
        <w:numPr>
          <w:ilvl w:val="0"/>
          <w:numId w:val="39"/>
        </w:numPr>
        <w:jc w:val="both"/>
        <w:rPr>
          <w:rFonts w:cs="Times New Roman"/>
        </w:rPr>
      </w:pPr>
      <w:r w:rsidRPr="00806708">
        <w:rPr>
          <w:rFonts w:cs="Times New Roman"/>
        </w:rPr>
        <w:t xml:space="preserve">Ocena formalna </w:t>
      </w:r>
      <w:r w:rsidR="0070175E" w:rsidRPr="00806708">
        <w:rPr>
          <w:rFonts w:cs="Times New Roman"/>
        </w:rPr>
        <w:t xml:space="preserve">i merytoryczna </w:t>
      </w:r>
      <w:r w:rsidRPr="00806708">
        <w:rPr>
          <w:rFonts w:cs="Times New Roman"/>
        </w:rPr>
        <w:t xml:space="preserve">wniosków przeprowadzana jest w terminie </w:t>
      </w:r>
      <w:bookmarkStart w:id="2" w:name="_Hlk8921902"/>
      <w:r w:rsidR="00CD4C90" w:rsidRPr="00806708">
        <w:rPr>
          <w:rFonts w:cs="Times New Roman"/>
        </w:rPr>
        <w:t xml:space="preserve">15 </w:t>
      </w:r>
      <w:r w:rsidR="00786E3E" w:rsidRPr="00806708">
        <w:rPr>
          <w:rFonts w:cs="Times New Roman"/>
        </w:rPr>
        <w:t xml:space="preserve">dni </w:t>
      </w:r>
      <w:r w:rsidRPr="00806708">
        <w:rPr>
          <w:rFonts w:cs="Times New Roman"/>
        </w:rPr>
        <w:t xml:space="preserve">roboczych, licząc od daty </w:t>
      </w:r>
      <w:r w:rsidR="00043D39" w:rsidRPr="00806708">
        <w:rPr>
          <w:rFonts w:cs="Times New Roman"/>
        </w:rPr>
        <w:t>wpływu</w:t>
      </w:r>
      <w:r w:rsidR="00B74143" w:rsidRPr="00806708">
        <w:rPr>
          <w:rFonts w:cs="Times New Roman"/>
        </w:rPr>
        <w:t xml:space="preserve"> wniosku do Oddziału PFRON</w:t>
      </w:r>
      <w:bookmarkEnd w:id="2"/>
      <w:r w:rsidRPr="00806708">
        <w:rPr>
          <w:rFonts w:cs="Times New Roman"/>
        </w:rPr>
        <w:t>.</w:t>
      </w:r>
    </w:p>
    <w:p w14:paraId="436DFE8D" w14:textId="7A15EC3D" w:rsidR="00E25270" w:rsidRPr="00806708" w:rsidRDefault="00E25270" w:rsidP="00555334">
      <w:pPr>
        <w:numPr>
          <w:ilvl w:val="0"/>
          <w:numId w:val="39"/>
        </w:numPr>
        <w:spacing w:before="120"/>
        <w:jc w:val="both"/>
        <w:rPr>
          <w:rFonts w:cs="Times New Roman"/>
        </w:rPr>
      </w:pPr>
      <w:bookmarkStart w:id="3" w:name="_Hlk8921930"/>
      <w:r w:rsidRPr="00806708">
        <w:rPr>
          <w:rFonts w:cs="Times New Roman"/>
        </w:rPr>
        <w:t xml:space="preserve">Ocena formalna i merytoryczna wniosków dokonywana jest przez </w:t>
      </w:r>
      <w:r w:rsidR="005372DA" w:rsidRPr="00EE3918">
        <w:rPr>
          <w:rFonts w:cs="Times New Roman"/>
        </w:rPr>
        <w:t>pracowników Oddziałów PFRON</w:t>
      </w:r>
      <w:r w:rsidR="005372DA">
        <w:rPr>
          <w:rFonts w:cs="Times New Roman"/>
        </w:rPr>
        <w:t>.</w:t>
      </w:r>
      <w:bookmarkEnd w:id="3"/>
    </w:p>
    <w:p w14:paraId="6DCB4CBF" w14:textId="77777777" w:rsidR="00A6390B" w:rsidRPr="00806708" w:rsidRDefault="00A6390B" w:rsidP="00555334">
      <w:pPr>
        <w:numPr>
          <w:ilvl w:val="0"/>
          <w:numId w:val="39"/>
        </w:numPr>
        <w:spacing w:before="120"/>
        <w:jc w:val="both"/>
        <w:rPr>
          <w:rFonts w:cs="Times New Roman"/>
        </w:rPr>
      </w:pPr>
      <w:r w:rsidRPr="00806708">
        <w:rPr>
          <w:rFonts w:cs="Times New Roman"/>
        </w:rPr>
        <w:t>Szczegółowe postanowienia dotyczące rozpatrywania wniosków określone zostały w „Instrukcji rozpatrywania wniosków złożonych w ramach programu”, stanowiącej załącznik do procedur.</w:t>
      </w:r>
    </w:p>
    <w:p w14:paraId="5719B842" w14:textId="309D0643" w:rsidR="00024502" w:rsidRDefault="00C26671" w:rsidP="00555334">
      <w:pPr>
        <w:numPr>
          <w:ilvl w:val="0"/>
          <w:numId w:val="39"/>
        </w:numPr>
        <w:spacing w:before="120"/>
        <w:ind w:left="357" w:hanging="357"/>
        <w:jc w:val="both"/>
        <w:rPr>
          <w:rFonts w:cs="Times New Roman"/>
        </w:rPr>
      </w:pPr>
      <w:r w:rsidRPr="00555D26">
        <w:rPr>
          <w:rFonts w:cs="Times New Roman"/>
        </w:rPr>
        <w:t>E</w:t>
      </w:r>
      <w:r w:rsidR="00024502" w:rsidRPr="00555D26">
        <w:rPr>
          <w:rFonts w:cs="Times New Roman"/>
        </w:rPr>
        <w:t xml:space="preserve">wentualne nieścisłości, błędy lub braki muszą zostać poprawione lub uzupełnione przez </w:t>
      </w:r>
      <w:r w:rsidRPr="00555D26">
        <w:rPr>
          <w:rFonts w:cs="Times New Roman"/>
        </w:rPr>
        <w:t>Wnioskodawcę</w:t>
      </w:r>
      <w:r w:rsidR="00024502" w:rsidRPr="00555D26">
        <w:rPr>
          <w:rFonts w:cs="Times New Roman"/>
        </w:rPr>
        <w:t xml:space="preserve"> w </w:t>
      </w:r>
      <w:r w:rsidR="005372DA" w:rsidRPr="00EE3918">
        <w:rPr>
          <w:rFonts w:cs="Times New Roman"/>
        </w:rPr>
        <w:t>wyznaczonym przez PFRON</w:t>
      </w:r>
      <w:r w:rsidR="005372DA">
        <w:rPr>
          <w:rFonts w:cs="Times New Roman"/>
        </w:rPr>
        <w:t xml:space="preserve"> </w:t>
      </w:r>
      <w:r w:rsidR="00024502" w:rsidRPr="00555D26">
        <w:rPr>
          <w:rFonts w:cs="Times New Roman"/>
        </w:rPr>
        <w:t>terminie</w:t>
      </w:r>
      <w:r w:rsidR="00051B2F" w:rsidRPr="00555D26">
        <w:rPr>
          <w:rFonts w:cs="Times New Roman"/>
        </w:rPr>
        <w:t>.</w:t>
      </w:r>
      <w:r w:rsidR="00F672A5" w:rsidRPr="00555D26">
        <w:rPr>
          <w:rFonts w:cs="Times New Roman"/>
        </w:rPr>
        <w:t xml:space="preserve"> </w:t>
      </w:r>
      <w:r w:rsidR="00CD4C90" w:rsidRPr="00555D26">
        <w:rPr>
          <w:rFonts w:cs="Times New Roman"/>
        </w:rPr>
        <w:t>Wezwanie Wnioskodawcy do</w:t>
      </w:r>
      <w:r w:rsidR="00EE3918">
        <w:rPr>
          <w:rFonts w:cs="Times New Roman"/>
        </w:rPr>
        <w:t> </w:t>
      </w:r>
      <w:r w:rsidR="00CD4C90" w:rsidRPr="00555D26">
        <w:rPr>
          <w:rFonts w:cs="Times New Roman"/>
        </w:rPr>
        <w:t xml:space="preserve">uzupełnienia wniosku wstrzymuje </w:t>
      </w:r>
      <w:r w:rsidR="00E25270" w:rsidRPr="00806708">
        <w:rPr>
          <w:rFonts w:cs="Times New Roman"/>
        </w:rPr>
        <w:t>bieg</w:t>
      </w:r>
      <w:r w:rsidR="00E25270">
        <w:rPr>
          <w:rFonts w:cs="Times New Roman"/>
        </w:rPr>
        <w:t xml:space="preserve"> </w:t>
      </w:r>
      <w:r w:rsidR="00CD4C90" w:rsidRPr="00555D26">
        <w:rPr>
          <w:rFonts w:cs="Times New Roman"/>
        </w:rPr>
        <w:t>terminu oceny, o</w:t>
      </w:r>
      <w:r w:rsidR="005372DA">
        <w:rPr>
          <w:rFonts w:cs="Times New Roman"/>
        </w:rPr>
        <w:t> </w:t>
      </w:r>
      <w:r w:rsidR="00CD4C90" w:rsidRPr="00555D26">
        <w:rPr>
          <w:rFonts w:cs="Times New Roman"/>
        </w:rPr>
        <w:t>którym mowa w</w:t>
      </w:r>
      <w:r w:rsidR="00EE3918">
        <w:rPr>
          <w:rFonts w:cs="Times New Roman"/>
        </w:rPr>
        <w:t> </w:t>
      </w:r>
      <w:r w:rsidR="00CD4C90" w:rsidRPr="00555D26">
        <w:rPr>
          <w:rFonts w:cs="Times New Roman"/>
        </w:rPr>
        <w:t xml:space="preserve">ust. 1. </w:t>
      </w:r>
      <w:r w:rsidR="00051B2F" w:rsidRPr="00555D26">
        <w:rPr>
          <w:rFonts w:cs="Times New Roman"/>
        </w:rPr>
        <w:t>D</w:t>
      </w:r>
      <w:r w:rsidR="00F672A5" w:rsidRPr="00555D26">
        <w:rPr>
          <w:rFonts w:cs="Times New Roman"/>
        </w:rPr>
        <w:t>opuszcza się możliwość przekazania</w:t>
      </w:r>
      <w:r w:rsidR="00DA12B2" w:rsidRPr="00555D26">
        <w:rPr>
          <w:rFonts w:cs="Times New Roman"/>
        </w:rPr>
        <w:t xml:space="preserve"> przez PFRON </w:t>
      </w:r>
      <w:r w:rsidR="000E3803" w:rsidRPr="00555D26">
        <w:rPr>
          <w:rFonts w:cs="Times New Roman"/>
        </w:rPr>
        <w:t>wezwania</w:t>
      </w:r>
      <w:r w:rsidR="00DA12B2" w:rsidRPr="00555D26">
        <w:rPr>
          <w:rFonts w:cs="Times New Roman"/>
        </w:rPr>
        <w:t xml:space="preserve"> wyłącznie pocztą elektroniczną </w:t>
      </w:r>
      <w:r w:rsidR="00AF0F95" w:rsidRPr="00555D26">
        <w:rPr>
          <w:rFonts w:cs="Times New Roman"/>
        </w:rPr>
        <w:t xml:space="preserve">(skan pisma) </w:t>
      </w:r>
      <w:r w:rsidR="00DA12B2" w:rsidRPr="00555D26">
        <w:rPr>
          <w:rFonts w:cs="Times New Roman"/>
        </w:rPr>
        <w:t xml:space="preserve">na adres e-mail Wnioskodawcy podany we wniosku – w takiej sytuacji PFRON </w:t>
      </w:r>
      <w:r w:rsidR="000E3803" w:rsidRPr="00555D26">
        <w:rPr>
          <w:rFonts w:cs="Times New Roman"/>
        </w:rPr>
        <w:t xml:space="preserve">w tym samym dniu </w:t>
      </w:r>
      <w:r w:rsidR="00DA12B2" w:rsidRPr="00555D26">
        <w:rPr>
          <w:rFonts w:cs="Times New Roman"/>
        </w:rPr>
        <w:t>potwierdza</w:t>
      </w:r>
      <w:r w:rsidR="00051B2F" w:rsidRPr="00555D26">
        <w:rPr>
          <w:rFonts w:cs="Times New Roman"/>
        </w:rPr>
        <w:t xml:space="preserve"> wysłanie wiadomości pocztą elektroniczną w</w:t>
      </w:r>
      <w:r w:rsidR="000E3803" w:rsidRPr="00555D26">
        <w:rPr>
          <w:rFonts w:cs="Times New Roman"/>
        </w:rPr>
        <w:t> </w:t>
      </w:r>
      <w:r w:rsidR="00051B2F" w:rsidRPr="00555D26">
        <w:rPr>
          <w:rFonts w:cs="Times New Roman"/>
        </w:rPr>
        <w:t>rozmowie telefonicznej z</w:t>
      </w:r>
      <w:r w:rsidR="005372DA">
        <w:rPr>
          <w:rFonts w:cs="Times New Roman"/>
        </w:rPr>
        <w:t> </w:t>
      </w:r>
      <w:r w:rsidR="00051B2F" w:rsidRPr="00555D26">
        <w:rPr>
          <w:rFonts w:cs="Times New Roman"/>
        </w:rPr>
        <w:t xml:space="preserve">osobą </w:t>
      </w:r>
      <w:r w:rsidR="000E3803" w:rsidRPr="00555D26">
        <w:rPr>
          <w:rFonts w:cs="Times New Roman"/>
        </w:rPr>
        <w:t xml:space="preserve">upoważnioną </w:t>
      </w:r>
      <w:r w:rsidR="00DA12B2" w:rsidRPr="00555D26">
        <w:rPr>
          <w:rFonts w:cs="Times New Roman"/>
        </w:rPr>
        <w:t>do</w:t>
      </w:r>
      <w:r w:rsidR="00933542">
        <w:rPr>
          <w:rFonts w:cs="Times New Roman"/>
        </w:rPr>
        <w:t> </w:t>
      </w:r>
      <w:r w:rsidR="00DA12B2" w:rsidRPr="00555D26">
        <w:rPr>
          <w:rFonts w:cs="Times New Roman"/>
        </w:rPr>
        <w:t>składania wyjaśnień dotyczących wniosku</w:t>
      </w:r>
      <w:r w:rsidR="00A92A31" w:rsidRPr="00555D26">
        <w:rPr>
          <w:rFonts w:cs="Times New Roman"/>
        </w:rPr>
        <w:t>.</w:t>
      </w:r>
    </w:p>
    <w:p w14:paraId="10BE8D94" w14:textId="77777777" w:rsidR="00AD6894" w:rsidRPr="00E25270" w:rsidRDefault="00357785" w:rsidP="00555334">
      <w:pPr>
        <w:numPr>
          <w:ilvl w:val="0"/>
          <w:numId w:val="39"/>
        </w:numPr>
        <w:spacing w:before="120"/>
        <w:ind w:left="357" w:hanging="357"/>
        <w:jc w:val="both"/>
        <w:rPr>
          <w:rFonts w:cs="Times New Roman"/>
        </w:rPr>
      </w:pPr>
      <w:r w:rsidRPr="00E25270">
        <w:rPr>
          <w:rFonts w:cs="Times New Roman"/>
        </w:rPr>
        <w:t>W</w:t>
      </w:r>
      <w:r w:rsidR="008B2078" w:rsidRPr="00E25270">
        <w:rPr>
          <w:rFonts w:cs="Times New Roman"/>
        </w:rPr>
        <w:t xml:space="preserve">nioski </w:t>
      </w:r>
      <w:r w:rsidRPr="00E25270">
        <w:rPr>
          <w:rFonts w:cs="Times New Roman"/>
        </w:rPr>
        <w:t xml:space="preserve">ocenione pozytywnie </w:t>
      </w:r>
      <w:r w:rsidRPr="006E0263">
        <w:rPr>
          <w:rFonts w:cs="Times New Roman"/>
        </w:rPr>
        <w:t>pod względem formalnym</w:t>
      </w:r>
      <w:r w:rsidRPr="00E25270">
        <w:rPr>
          <w:rFonts w:cs="Times New Roman"/>
        </w:rPr>
        <w:t xml:space="preserve">, </w:t>
      </w:r>
      <w:r w:rsidR="008B2078" w:rsidRPr="00E25270">
        <w:rPr>
          <w:rFonts w:cs="Times New Roman"/>
        </w:rPr>
        <w:t xml:space="preserve">podlegają ocenie </w:t>
      </w:r>
      <w:r w:rsidRPr="00E25270">
        <w:rPr>
          <w:rFonts w:cs="Times New Roman"/>
        </w:rPr>
        <w:t>merytorycznej</w:t>
      </w:r>
      <w:r w:rsidR="00E25270">
        <w:rPr>
          <w:rFonts w:cs="Times New Roman"/>
        </w:rPr>
        <w:t>.</w:t>
      </w:r>
    </w:p>
    <w:p w14:paraId="0DBF542A" w14:textId="77777777" w:rsidR="00C11CC9" w:rsidRPr="00023A0F" w:rsidRDefault="00281E3E" w:rsidP="00281E3E">
      <w:pPr>
        <w:pStyle w:val="NormalnyWeb"/>
        <w:spacing w:before="360" w:beforeAutospacing="0" w:after="240" w:afterAutospacing="0"/>
        <w:ind w:left="680" w:hanging="680"/>
        <w:jc w:val="both"/>
        <w:rPr>
          <w:b/>
          <w:sz w:val="28"/>
          <w:szCs w:val="28"/>
        </w:rPr>
      </w:pPr>
      <w:r w:rsidRPr="00023A0F">
        <w:rPr>
          <w:b/>
          <w:sz w:val="28"/>
          <w:szCs w:val="28"/>
        </w:rPr>
        <w:t>I</w:t>
      </w:r>
      <w:r w:rsidR="00C11CC9" w:rsidRPr="00023A0F">
        <w:rPr>
          <w:b/>
          <w:sz w:val="28"/>
          <w:szCs w:val="28"/>
        </w:rPr>
        <w:t>V.</w:t>
      </w:r>
      <w:r w:rsidR="0070175E" w:rsidRPr="00806708">
        <w:rPr>
          <w:b/>
          <w:sz w:val="28"/>
          <w:szCs w:val="28"/>
        </w:rPr>
        <w:t>3</w:t>
      </w:r>
      <w:r w:rsidR="00C11CC9" w:rsidRPr="00023A0F">
        <w:rPr>
          <w:b/>
          <w:sz w:val="28"/>
          <w:szCs w:val="28"/>
        </w:rPr>
        <w:t>.</w:t>
      </w:r>
      <w:r w:rsidR="00C11CC9" w:rsidRPr="00023A0F">
        <w:rPr>
          <w:b/>
          <w:sz w:val="28"/>
          <w:szCs w:val="28"/>
        </w:rPr>
        <w:tab/>
        <w:t>Decyzje finansowe PFRON</w:t>
      </w:r>
      <w:r w:rsidR="00AB6B5D" w:rsidRPr="00AB6B5D">
        <w:t xml:space="preserve"> </w:t>
      </w:r>
      <w:r w:rsidR="00AB6B5D" w:rsidRPr="00AB6B5D">
        <w:rPr>
          <w:b/>
          <w:sz w:val="28"/>
          <w:szCs w:val="28"/>
        </w:rPr>
        <w:t>w ramach modułu I „Instytucje”</w:t>
      </w:r>
    </w:p>
    <w:p w14:paraId="000C7A6C" w14:textId="77777777" w:rsidR="00DB6C6F" w:rsidRPr="00023A0F" w:rsidRDefault="00DB4BE5" w:rsidP="00555334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</w:pPr>
      <w:bookmarkStart w:id="4" w:name="_Hlk8922425"/>
      <w:r w:rsidRPr="00023A0F">
        <w:t>Wnioski o</w:t>
      </w:r>
      <w:r w:rsidR="00C11CC9" w:rsidRPr="00023A0F">
        <w:t>cenione pozytywnie pod względem merytorycznym przekazywane są do decyzji Pełnomocników Zarządu PFRON w Oddziałach PFRON</w:t>
      </w:r>
      <w:bookmarkEnd w:id="4"/>
      <w:r w:rsidR="00C11CC9" w:rsidRPr="00023A0F">
        <w:t>.</w:t>
      </w:r>
    </w:p>
    <w:p w14:paraId="01E814A0" w14:textId="77777777" w:rsidR="006C0BA9" w:rsidRPr="00023A0F" w:rsidRDefault="00D75DC7" w:rsidP="00555334">
      <w:pPr>
        <w:pStyle w:val="NormalnyWeb"/>
        <w:numPr>
          <w:ilvl w:val="0"/>
          <w:numId w:val="41"/>
        </w:numPr>
        <w:spacing w:before="120" w:beforeAutospacing="0" w:after="0" w:afterAutospacing="0"/>
        <w:jc w:val="both"/>
      </w:pPr>
      <w:r w:rsidRPr="00023A0F">
        <w:t xml:space="preserve">Oddział PFRON powiadamia Wnioskodawcę o podjętej decyzji, w formie pisemnej, w terminie 5 dni roboczych, licząc od daty podjęcia </w:t>
      </w:r>
      <w:r w:rsidR="00D708F2" w:rsidRPr="00023A0F">
        <w:t xml:space="preserve">tej </w:t>
      </w:r>
      <w:r w:rsidRPr="00023A0F">
        <w:t>decyzji, przy czym decyzje negatywne wymagają uzasadnienia.</w:t>
      </w:r>
    </w:p>
    <w:p w14:paraId="2AF8346F" w14:textId="77777777" w:rsidR="00555D26" w:rsidRPr="00023A0F" w:rsidRDefault="00555D26" w:rsidP="009B13DF">
      <w:pPr>
        <w:pStyle w:val="NormalnyWeb"/>
        <w:spacing w:before="480" w:beforeAutospacing="0" w:after="240" w:afterAutospacing="0"/>
        <w:ind w:left="454" w:hanging="45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023A0F">
        <w:rPr>
          <w:b/>
          <w:sz w:val="32"/>
          <w:szCs w:val="32"/>
        </w:rPr>
        <w:t>.</w:t>
      </w:r>
      <w:r w:rsidRPr="00023A0F">
        <w:rPr>
          <w:b/>
          <w:sz w:val="32"/>
          <w:szCs w:val="32"/>
        </w:rPr>
        <w:tab/>
        <w:t>Zasady przekazywania i rozliczania środków PFRON</w:t>
      </w:r>
      <w:r w:rsidRPr="00697662">
        <w:t xml:space="preserve"> </w:t>
      </w:r>
      <w:r w:rsidRPr="00697662">
        <w:rPr>
          <w:b/>
          <w:sz w:val="32"/>
          <w:szCs w:val="32"/>
        </w:rPr>
        <w:t>w ramach modułu I „Instytucje”</w:t>
      </w:r>
    </w:p>
    <w:p w14:paraId="0F003D53" w14:textId="77777777" w:rsidR="00555D26" w:rsidRPr="00023A0F" w:rsidRDefault="00555D26" w:rsidP="00555334">
      <w:pPr>
        <w:pStyle w:val="NormalnyWeb"/>
        <w:numPr>
          <w:ilvl w:val="0"/>
          <w:numId w:val="43"/>
        </w:numPr>
        <w:spacing w:before="120" w:beforeAutospacing="0" w:after="0" w:afterAutospacing="0"/>
        <w:jc w:val="both"/>
      </w:pPr>
      <w:r w:rsidRPr="00023A0F">
        <w:t xml:space="preserve">Wysokość przyznanego dofinansowania, sposób przekazania środków finansowych oraz termin i sposób ich rozliczenia określa umowa o dofinansowanie działań aktywizacyjnych w ramach </w:t>
      </w:r>
      <w:r w:rsidRPr="00EC1BD8">
        <w:t>modułu I „Instytucje”</w:t>
      </w:r>
      <w:r w:rsidRPr="00023A0F">
        <w:t>, zawarta pomiędzy PFRON a</w:t>
      </w:r>
      <w:r>
        <w:t xml:space="preserve"> Wnioskodawcą</w:t>
      </w:r>
      <w:r w:rsidRPr="00023A0F">
        <w:t>.</w:t>
      </w:r>
    </w:p>
    <w:p w14:paraId="173D5912" w14:textId="77777777" w:rsidR="00555D26" w:rsidRPr="00023A0F" w:rsidRDefault="00555D26" w:rsidP="00555334">
      <w:pPr>
        <w:pStyle w:val="NormalnyWeb"/>
        <w:numPr>
          <w:ilvl w:val="0"/>
          <w:numId w:val="43"/>
        </w:numPr>
        <w:spacing w:before="120" w:beforeAutospacing="0" w:after="0" w:afterAutospacing="0"/>
        <w:jc w:val="both"/>
      </w:pPr>
      <w:r w:rsidRPr="00023A0F">
        <w:t xml:space="preserve">Wzór umowy o dofinansowanie </w:t>
      </w:r>
      <w:r>
        <w:t xml:space="preserve">działań aktywizacyjnych w ramach modułu I „Instytucje” </w:t>
      </w:r>
      <w:r w:rsidRPr="00023A0F">
        <w:t>stanowi załącznik do procedur.</w:t>
      </w:r>
    </w:p>
    <w:p w14:paraId="278EB8B2" w14:textId="77777777" w:rsidR="00555D26" w:rsidRPr="00023A0F" w:rsidRDefault="00555D26" w:rsidP="00555334">
      <w:pPr>
        <w:pStyle w:val="NormalnyWeb"/>
        <w:numPr>
          <w:ilvl w:val="0"/>
          <w:numId w:val="43"/>
        </w:numPr>
        <w:spacing w:before="120" w:beforeAutospacing="0" w:after="0" w:afterAutospacing="0"/>
        <w:jc w:val="both"/>
      </w:pPr>
      <w:r w:rsidRPr="00023A0F">
        <w:t>Przekazanie przez PFRON środków finansowych nastąpi według następujących zasad:</w:t>
      </w:r>
    </w:p>
    <w:p w14:paraId="29503E23" w14:textId="77777777" w:rsidR="00555D26" w:rsidRPr="00BB2912" w:rsidRDefault="0012674F" w:rsidP="00555334">
      <w:pPr>
        <w:pStyle w:val="NormalnyWeb"/>
        <w:numPr>
          <w:ilvl w:val="0"/>
          <w:numId w:val="44"/>
        </w:numPr>
        <w:spacing w:before="60" w:beforeAutospacing="0" w:after="0" w:afterAutospacing="0"/>
        <w:ind w:left="714" w:hanging="357"/>
        <w:jc w:val="both"/>
      </w:pPr>
      <w:r w:rsidRPr="00BB2912">
        <w:t xml:space="preserve">w całości </w:t>
      </w:r>
      <w:r w:rsidR="00CD3007" w:rsidRPr="00BB2912">
        <w:t xml:space="preserve">po podpisaniu umowy </w:t>
      </w:r>
      <w:r w:rsidRPr="00BB2912">
        <w:t>(</w:t>
      </w:r>
      <w:r w:rsidR="00CD3007" w:rsidRPr="00BB2912">
        <w:t>w formie zaliczk</w:t>
      </w:r>
      <w:r w:rsidRPr="00BB2912">
        <w:t>i)</w:t>
      </w:r>
      <w:r w:rsidR="00CD3007" w:rsidRPr="00BB2912">
        <w:t xml:space="preserve"> </w:t>
      </w:r>
      <w:r w:rsidR="00555D26" w:rsidRPr="00BB2912">
        <w:t>na rachunek bankowy wydzielony dla środków otrzymywanych z PFRON w ramach umowy</w:t>
      </w:r>
      <w:r w:rsidR="00CD3007" w:rsidRPr="00BB2912">
        <w:t>;</w:t>
      </w:r>
    </w:p>
    <w:p w14:paraId="066C8468" w14:textId="281FA87B" w:rsidR="00555D26" w:rsidRDefault="00555D26" w:rsidP="00B01169">
      <w:pPr>
        <w:spacing w:before="60"/>
        <w:ind w:left="720"/>
        <w:jc w:val="both"/>
        <w:rPr>
          <w:rFonts w:cs="Times New Roman"/>
        </w:rPr>
      </w:pPr>
      <w:r w:rsidRPr="00BB2912">
        <w:rPr>
          <w:rFonts w:cs="Times New Roman"/>
        </w:rPr>
        <w:t>albo</w:t>
      </w:r>
    </w:p>
    <w:p w14:paraId="618F4C1A" w14:textId="51675DFB" w:rsidR="00EE3918" w:rsidRDefault="00EE3918" w:rsidP="00EE3918">
      <w:pPr>
        <w:spacing w:before="60"/>
        <w:jc w:val="both"/>
        <w:rPr>
          <w:rFonts w:cs="Times New Roman"/>
        </w:rPr>
      </w:pPr>
    </w:p>
    <w:p w14:paraId="058D4C8A" w14:textId="77777777" w:rsidR="00EE3918" w:rsidRPr="00BB2912" w:rsidRDefault="00EE3918" w:rsidP="00EE3918">
      <w:pPr>
        <w:spacing w:before="60"/>
        <w:jc w:val="both"/>
        <w:rPr>
          <w:rFonts w:cs="Times New Roman"/>
        </w:rPr>
      </w:pPr>
    </w:p>
    <w:p w14:paraId="0C204C65" w14:textId="77777777" w:rsidR="00555D26" w:rsidRPr="0001445D" w:rsidRDefault="00555D26" w:rsidP="00555334">
      <w:pPr>
        <w:pStyle w:val="NormalnyWeb"/>
        <w:numPr>
          <w:ilvl w:val="0"/>
          <w:numId w:val="44"/>
        </w:numPr>
        <w:spacing w:before="60" w:beforeAutospacing="0" w:after="0" w:afterAutospacing="0"/>
        <w:jc w:val="both"/>
      </w:pPr>
      <w:r w:rsidRPr="0001445D">
        <w:lastRenderedPageBreak/>
        <w:t>na podstawie przedłożonego przez Wnioskodawcę sprawozdania z realizacji działań aktywizacyjnych – w formie zwrotu kosztów działań aktywizacyjnych poniesionych przez Wnioskodawcę po dniu podpisania umowy; przekazanie środków nastąpi na rachunek bankowy Wnioskodawcy:</w:t>
      </w:r>
    </w:p>
    <w:p w14:paraId="4E1F8486" w14:textId="77777777" w:rsidR="00555D26" w:rsidRPr="0001445D" w:rsidRDefault="00555D26" w:rsidP="00555334">
      <w:pPr>
        <w:numPr>
          <w:ilvl w:val="0"/>
          <w:numId w:val="45"/>
        </w:numPr>
        <w:spacing w:before="60"/>
        <w:jc w:val="both"/>
        <w:rPr>
          <w:rFonts w:cs="Times New Roman"/>
        </w:rPr>
      </w:pPr>
      <w:r w:rsidRPr="0001445D">
        <w:rPr>
          <w:rFonts w:cs="Times New Roman"/>
        </w:rPr>
        <w:t>w dwóch transzach na podstawie złożonego sprawozdania częściowego oraz sprawozdania końcowego z realizacji działań aktywizacyjnych, albo</w:t>
      </w:r>
    </w:p>
    <w:p w14:paraId="2A2BED9C" w14:textId="77777777" w:rsidR="00555D26" w:rsidRPr="0001445D" w:rsidRDefault="00555D26" w:rsidP="00555334">
      <w:pPr>
        <w:numPr>
          <w:ilvl w:val="0"/>
          <w:numId w:val="45"/>
        </w:numPr>
        <w:spacing w:before="60"/>
        <w:jc w:val="both"/>
        <w:rPr>
          <w:rFonts w:cs="Times New Roman"/>
        </w:rPr>
      </w:pPr>
      <w:r w:rsidRPr="0001445D">
        <w:rPr>
          <w:rFonts w:cs="Times New Roman"/>
        </w:rPr>
        <w:t>w całości (w formie jednorazowej transzy) po złożeniu przez Wnioskodawcę sprawozdania końcowego z realizacji działań aktywizacyjnych.</w:t>
      </w:r>
    </w:p>
    <w:p w14:paraId="46A8DE22" w14:textId="77777777" w:rsidR="00D75DC7" w:rsidRPr="00023A0F" w:rsidRDefault="00281E3E" w:rsidP="00555D26">
      <w:pPr>
        <w:pStyle w:val="NormalnyWeb"/>
        <w:spacing w:before="480" w:beforeAutospacing="0" w:after="240" w:afterAutospacing="0"/>
        <w:ind w:left="567" w:hanging="567"/>
        <w:jc w:val="both"/>
        <w:rPr>
          <w:b/>
          <w:sz w:val="32"/>
          <w:szCs w:val="32"/>
        </w:rPr>
      </w:pPr>
      <w:r w:rsidRPr="00023A0F">
        <w:rPr>
          <w:b/>
          <w:sz w:val="32"/>
          <w:szCs w:val="32"/>
        </w:rPr>
        <w:t>V</w:t>
      </w:r>
      <w:r w:rsidR="00555D26">
        <w:rPr>
          <w:b/>
          <w:sz w:val="32"/>
          <w:szCs w:val="32"/>
        </w:rPr>
        <w:t>I</w:t>
      </w:r>
      <w:r w:rsidR="00D75DC7" w:rsidRPr="00023A0F">
        <w:rPr>
          <w:b/>
          <w:sz w:val="32"/>
          <w:szCs w:val="32"/>
        </w:rPr>
        <w:t>.</w:t>
      </w:r>
      <w:r w:rsidR="00D75DC7" w:rsidRPr="00023A0F">
        <w:rPr>
          <w:b/>
          <w:sz w:val="32"/>
          <w:szCs w:val="32"/>
        </w:rPr>
        <w:tab/>
        <w:t>Zasady kwalifikowalności kosztów</w:t>
      </w:r>
      <w:r w:rsidR="00AB6B5D" w:rsidRPr="00AB6B5D">
        <w:t xml:space="preserve"> </w:t>
      </w:r>
      <w:r w:rsidR="00AB6B5D" w:rsidRPr="00AB6B5D">
        <w:rPr>
          <w:b/>
          <w:sz w:val="32"/>
          <w:szCs w:val="32"/>
        </w:rPr>
        <w:t>w ramach modułu I „Instytucje”</w:t>
      </w:r>
    </w:p>
    <w:p w14:paraId="575E9438" w14:textId="77777777" w:rsidR="001D70EF" w:rsidRPr="00EE3918" w:rsidRDefault="00F8465A" w:rsidP="00555334">
      <w:pPr>
        <w:pStyle w:val="NormalnyWeb"/>
        <w:numPr>
          <w:ilvl w:val="0"/>
          <w:numId w:val="46"/>
        </w:numPr>
        <w:spacing w:before="0" w:beforeAutospacing="0" w:after="0" w:afterAutospacing="0"/>
        <w:ind w:left="357" w:hanging="357"/>
        <w:jc w:val="both"/>
      </w:pPr>
      <w:r w:rsidRPr="00EE3918">
        <w:t>K</w:t>
      </w:r>
      <w:r w:rsidR="001D70EF" w:rsidRPr="00EE3918">
        <w:t xml:space="preserve">oszty </w:t>
      </w:r>
      <w:r w:rsidR="00045DCE" w:rsidRPr="00EE3918">
        <w:t>działań aktywizacyjnych</w:t>
      </w:r>
      <w:r w:rsidRPr="00EE3918">
        <w:t xml:space="preserve"> uznaje się za kwalifikowalne</w:t>
      </w:r>
      <w:r w:rsidR="001D70EF" w:rsidRPr="00EE3918">
        <w:t>, o ile:</w:t>
      </w:r>
    </w:p>
    <w:p w14:paraId="62690853" w14:textId="7FAE7D93" w:rsidR="001D70EF" w:rsidRPr="00EE3918" w:rsidRDefault="00DD757A" w:rsidP="00555334">
      <w:pPr>
        <w:pStyle w:val="NormalnyWeb"/>
        <w:numPr>
          <w:ilvl w:val="0"/>
          <w:numId w:val="47"/>
        </w:numPr>
        <w:spacing w:before="60" w:beforeAutospacing="0" w:after="0" w:afterAutospacing="0"/>
        <w:ind w:left="714" w:hanging="357"/>
        <w:jc w:val="both"/>
      </w:pPr>
      <w:r w:rsidRPr="00EE3918">
        <w:t>są zgodne z postanowieniami programu;</w:t>
      </w:r>
    </w:p>
    <w:p w14:paraId="72714C23" w14:textId="503805F3" w:rsidR="001D70EF" w:rsidRPr="00EE3918" w:rsidRDefault="00F8465A" w:rsidP="00555334">
      <w:pPr>
        <w:pStyle w:val="NormalnyWeb"/>
        <w:numPr>
          <w:ilvl w:val="0"/>
          <w:numId w:val="47"/>
        </w:numPr>
        <w:spacing w:before="60" w:beforeAutospacing="0" w:after="0" w:afterAutospacing="0"/>
        <w:jc w:val="both"/>
      </w:pPr>
      <w:r w:rsidRPr="00EE3918">
        <w:t>s</w:t>
      </w:r>
      <w:r w:rsidR="001D70EF" w:rsidRPr="00EE3918">
        <w:t>pełniają wymogi racjonalnego i oszczędnego gospodarowania środkami publicznymi;</w:t>
      </w:r>
    </w:p>
    <w:p w14:paraId="7F82E1CF" w14:textId="77777777" w:rsidR="001D70EF" w:rsidRPr="00EE3918" w:rsidRDefault="00F8465A" w:rsidP="00555334">
      <w:pPr>
        <w:pStyle w:val="NormalnyWeb"/>
        <w:numPr>
          <w:ilvl w:val="0"/>
          <w:numId w:val="47"/>
        </w:numPr>
        <w:spacing w:before="60" w:beforeAutospacing="0" w:after="0" w:afterAutospacing="0"/>
        <w:jc w:val="both"/>
      </w:pPr>
      <w:r w:rsidRPr="00EE3918">
        <w:t>są</w:t>
      </w:r>
      <w:r w:rsidR="001D70EF" w:rsidRPr="00EE3918">
        <w:t xml:space="preserve"> uwzględnione w budżecie</w:t>
      </w:r>
      <w:r w:rsidR="0081456A" w:rsidRPr="00EE3918">
        <w:t xml:space="preserve"> działań aktywizacyjnych</w:t>
      </w:r>
      <w:r w:rsidR="001D70EF" w:rsidRPr="00EE3918">
        <w:t>;</w:t>
      </w:r>
    </w:p>
    <w:p w14:paraId="5B1DAF38" w14:textId="77777777" w:rsidR="001D70EF" w:rsidRPr="00EE3918" w:rsidRDefault="00F8465A" w:rsidP="00555334">
      <w:pPr>
        <w:pStyle w:val="NormalnyWeb"/>
        <w:numPr>
          <w:ilvl w:val="0"/>
          <w:numId w:val="47"/>
        </w:numPr>
        <w:spacing w:before="60" w:beforeAutospacing="0" w:after="0" w:afterAutospacing="0"/>
        <w:jc w:val="both"/>
      </w:pPr>
      <w:r w:rsidRPr="00EE3918">
        <w:t>są</w:t>
      </w:r>
      <w:r w:rsidR="001D70EF" w:rsidRPr="00EE3918">
        <w:t xml:space="preserve"> faktycznie poniesione w okresie objętym umową zawartą pomiędzy Wnioskodawcą a</w:t>
      </w:r>
      <w:r w:rsidRPr="00EE3918">
        <w:t> </w:t>
      </w:r>
      <w:r w:rsidR="001D70EF" w:rsidRPr="00EE3918">
        <w:t>PFRON, w trybie i na warunkach określonych w tej umowie;</w:t>
      </w:r>
    </w:p>
    <w:p w14:paraId="1CD7DC46" w14:textId="77777777" w:rsidR="001D70EF" w:rsidRPr="00EE3918" w:rsidRDefault="001D70EF" w:rsidP="00555334">
      <w:pPr>
        <w:pStyle w:val="NormalnyWeb"/>
        <w:numPr>
          <w:ilvl w:val="0"/>
          <w:numId w:val="47"/>
        </w:numPr>
        <w:spacing w:before="60" w:beforeAutospacing="0" w:after="0" w:afterAutospacing="0"/>
        <w:jc w:val="both"/>
      </w:pPr>
      <w:r w:rsidRPr="00EE3918">
        <w:t>są poparte dowodami księgowymi i wykazane w dokumentacji finansowej Wnioskodawcy;</w:t>
      </w:r>
    </w:p>
    <w:p w14:paraId="202A369C" w14:textId="77777777" w:rsidR="001D70EF" w:rsidRPr="00EE3918" w:rsidRDefault="001D70EF" w:rsidP="00555334">
      <w:pPr>
        <w:pStyle w:val="NormalnyWeb"/>
        <w:numPr>
          <w:ilvl w:val="0"/>
          <w:numId w:val="47"/>
        </w:numPr>
        <w:spacing w:before="60" w:beforeAutospacing="0" w:after="0" w:afterAutospacing="0"/>
        <w:jc w:val="both"/>
      </w:pPr>
      <w:r w:rsidRPr="00EE3918">
        <w:t>są zgodne z obowiązującymi przepisami prawa</w:t>
      </w:r>
      <w:r w:rsidR="00E56EC0" w:rsidRPr="00EE3918">
        <w:t>.</w:t>
      </w:r>
    </w:p>
    <w:p w14:paraId="2344EC26" w14:textId="77777777" w:rsidR="00D52AB4" w:rsidRPr="00EE3918" w:rsidRDefault="00D52AB4" w:rsidP="00555334">
      <w:pPr>
        <w:pStyle w:val="NormalnyWeb"/>
        <w:numPr>
          <w:ilvl w:val="0"/>
          <w:numId w:val="46"/>
        </w:numPr>
        <w:spacing w:before="120" w:beforeAutospacing="0" w:after="0" w:afterAutospacing="0"/>
        <w:ind w:left="357" w:hanging="357"/>
        <w:jc w:val="both"/>
      </w:pPr>
      <w:r w:rsidRPr="00EE3918">
        <w:t>Dodatek motywacyjny stanowi świadczenie na rehabilitację zawodową, wypłacane ze środków finansowych PFRON (dodatek nie jest częścią wynagrodzenia beneficjenta ostatecznego). Wypłata dodatku przez Wnioskodawcę, w danym miesiącu, powinna nastąpić najpóźniej z wypłatą beneficjentowi ostatecznemu wynagrodzenia za pracę za ten miesiąc. Dodatek nie podlega rozliczeniu ani kontroli przez PFRON.</w:t>
      </w:r>
    </w:p>
    <w:p w14:paraId="22A3C0EB" w14:textId="60206CFF" w:rsidR="001D70EF" w:rsidRPr="00EE3918" w:rsidRDefault="009D4401" w:rsidP="00555334">
      <w:pPr>
        <w:pStyle w:val="NormalnyWeb"/>
        <w:numPr>
          <w:ilvl w:val="0"/>
          <w:numId w:val="46"/>
        </w:numPr>
        <w:spacing w:before="120" w:beforeAutospacing="0" w:after="0" w:afterAutospacing="0"/>
        <w:ind w:left="357" w:hanging="357"/>
        <w:jc w:val="both"/>
      </w:pPr>
      <w:r w:rsidRPr="00EE3918">
        <w:t xml:space="preserve">Koszty związane z realizacją </w:t>
      </w:r>
      <w:r w:rsidR="00F55BA7" w:rsidRPr="00EE3918">
        <w:t xml:space="preserve">działań aktywizacyjnych </w:t>
      </w:r>
      <w:r w:rsidRPr="00EE3918">
        <w:t>kwalifikowalne są z uwzględnieniem zasady memoriałowej,</w:t>
      </w:r>
      <w:r w:rsidR="00F55BA7" w:rsidRPr="00EE3918">
        <w:t xml:space="preserve"> wynikającej z postanowień art. </w:t>
      </w:r>
      <w:r w:rsidRPr="00EE3918">
        <w:t>6</w:t>
      </w:r>
      <w:r w:rsidR="00F55BA7" w:rsidRPr="00EE3918">
        <w:t xml:space="preserve"> ustawy z dnia 29 września 1994 </w:t>
      </w:r>
      <w:r w:rsidRPr="00EE3918">
        <w:t>r. o</w:t>
      </w:r>
      <w:r w:rsidR="00F55BA7" w:rsidRPr="00EE3918">
        <w:t xml:space="preserve"> rachunkowości </w:t>
      </w:r>
      <w:r w:rsidR="00D64FD5" w:rsidRPr="00EE3918">
        <w:t>(Dz. U. z 201</w:t>
      </w:r>
      <w:r w:rsidR="00D3440D" w:rsidRPr="00EE3918">
        <w:t>9</w:t>
      </w:r>
      <w:r w:rsidR="00D64FD5" w:rsidRPr="00EE3918">
        <w:t> r. poz. 3</w:t>
      </w:r>
      <w:r w:rsidR="00D3440D" w:rsidRPr="00EE3918">
        <w:t>51</w:t>
      </w:r>
      <w:r w:rsidR="00D64FD5" w:rsidRPr="00EE3918">
        <w:t>)</w:t>
      </w:r>
      <w:r w:rsidRPr="00EE3918">
        <w:t>.</w:t>
      </w:r>
    </w:p>
    <w:p w14:paraId="7F2CB1F6" w14:textId="04C1DEF9" w:rsidR="001D70EF" w:rsidRPr="00EE3918" w:rsidRDefault="00D52AB4" w:rsidP="00555334">
      <w:pPr>
        <w:pStyle w:val="NormalnyWeb"/>
        <w:numPr>
          <w:ilvl w:val="0"/>
          <w:numId w:val="46"/>
        </w:numPr>
        <w:spacing w:before="120" w:beforeAutospacing="0" w:after="0" w:afterAutospacing="0"/>
        <w:ind w:left="357" w:hanging="357"/>
        <w:jc w:val="both"/>
      </w:pPr>
      <w:r w:rsidRPr="00EE3918">
        <w:t>Koszty inwestycyjne kwalifikowane są zgodnie z polityką rachunkowości Wnioskodawcy.</w:t>
      </w:r>
    </w:p>
    <w:p w14:paraId="4B1131F1" w14:textId="77777777" w:rsidR="009D4401" w:rsidRPr="00EE3918" w:rsidRDefault="009D4401" w:rsidP="00555334">
      <w:pPr>
        <w:pStyle w:val="NormalnyWeb"/>
        <w:numPr>
          <w:ilvl w:val="0"/>
          <w:numId w:val="46"/>
        </w:numPr>
        <w:spacing w:before="120" w:beforeAutospacing="0" w:after="0" w:afterAutospacing="0"/>
        <w:ind w:left="357" w:hanging="357"/>
        <w:jc w:val="both"/>
      </w:pPr>
      <w:r w:rsidRPr="00EE3918">
        <w:t>Wnioskodawcy posiadający uprawnienie do odliczania podatku naliczonego VAT wykazują w</w:t>
      </w:r>
      <w:r w:rsidR="00F55BA7" w:rsidRPr="00EE3918">
        <w:t> </w:t>
      </w:r>
      <w:r w:rsidRPr="00EE3918">
        <w:t>budżecie koszty w kwotach netto (z wyjątkiem kosztów w odniesieniu do których nie przysługuje Wnioskodawcy prawo do odliczenia podatku VAT w całości lub w części), a</w:t>
      </w:r>
      <w:r w:rsidR="00F55BA7" w:rsidRPr="00EE3918">
        <w:t> </w:t>
      </w:r>
      <w:r w:rsidRPr="00EE3918">
        <w:t>Wnioskodawcy nieposiadający takiego uprawnienia – w kwotach brutto.</w:t>
      </w:r>
    </w:p>
    <w:p w14:paraId="70224EAC" w14:textId="77777777" w:rsidR="003F4AE9" w:rsidRPr="003F4AE9" w:rsidRDefault="003F4AE9" w:rsidP="003F4AE9">
      <w:pPr>
        <w:pStyle w:val="NormalnyWeb"/>
        <w:spacing w:before="480" w:beforeAutospacing="0" w:after="240" w:afterAutospacing="0"/>
        <w:ind w:left="794" w:hanging="794"/>
        <w:jc w:val="both"/>
        <w:rPr>
          <w:b/>
          <w:sz w:val="32"/>
          <w:szCs w:val="32"/>
        </w:rPr>
      </w:pPr>
      <w:r w:rsidRPr="003F4AE9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II</w:t>
      </w:r>
      <w:r w:rsidRPr="003F4AE9">
        <w:rPr>
          <w:b/>
          <w:sz w:val="32"/>
          <w:szCs w:val="32"/>
        </w:rPr>
        <w:t>.</w:t>
      </w:r>
      <w:r w:rsidRPr="003F4AE9">
        <w:rPr>
          <w:b/>
          <w:sz w:val="32"/>
          <w:szCs w:val="32"/>
        </w:rPr>
        <w:tab/>
        <w:t>Zasady składania oraz tryb rozpatrywania wniosków w ramach modułu I</w:t>
      </w:r>
      <w:r>
        <w:rPr>
          <w:b/>
          <w:sz w:val="32"/>
          <w:szCs w:val="32"/>
        </w:rPr>
        <w:t>I</w:t>
      </w:r>
      <w:r w:rsidRPr="003F4AE9">
        <w:rPr>
          <w:b/>
          <w:sz w:val="32"/>
          <w:szCs w:val="32"/>
        </w:rPr>
        <w:t xml:space="preserve"> „</w:t>
      </w:r>
      <w:r>
        <w:rPr>
          <w:b/>
          <w:sz w:val="32"/>
          <w:szCs w:val="32"/>
        </w:rPr>
        <w:t>Staże zawodowe</w:t>
      </w:r>
      <w:r w:rsidRPr="003F4AE9">
        <w:rPr>
          <w:b/>
          <w:sz w:val="32"/>
          <w:szCs w:val="32"/>
        </w:rPr>
        <w:t>”</w:t>
      </w:r>
    </w:p>
    <w:p w14:paraId="6F310A1A" w14:textId="77777777" w:rsidR="003F4AE9" w:rsidRPr="00023A0F" w:rsidRDefault="003F4AE9" w:rsidP="002C5B08">
      <w:pPr>
        <w:pStyle w:val="NormalnyWeb"/>
        <w:spacing w:before="360" w:beforeAutospacing="0" w:after="240" w:afterAutospacing="0"/>
        <w:ind w:left="851" w:hanging="851"/>
        <w:jc w:val="both"/>
        <w:rPr>
          <w:b/>
          <w:sz w:val="28"/>
          <w:szCs w:val="28"/>
        </w:rPr>
      </w:pPr>
      <w:r w:rsidRPr="00023A0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</w:t>
      </w:r>
      <w:r w:rsidRPr="00023A0F">
        <w:rPr>
          <w:b/>
          <w:sz w:val="28"/>
          <w:szCs w:val="28"/>
        </w:rPr>
        <w:t>.1.</w:t>
      </w:r>
      <w:r w:rsidRPr="00023A0F">
        <w:rPr>
          <w:b/>
          <w:sz w:val="28"/>
          <w:szCs w:val="28"/>
        </w:rPr>
        <w:tab/>
        <w:t xml:space="preserve">Zasady </w:t>
      </w:r>
      <w:r w:rsidR="009A4E2E">
        <w:rPr>
          <w:b/>
          <w:sz w:val="28"/>
          <w:szCs w:val="28"/>
        </w:rPr>
        <w:t xml:space="preserve">i termin </w:t>
      </w:r>
      <w:r w:rsidRPr="00023A0F">
        <w:rPr>
          <w:b/>
          <w:sz w:val="28"/>
          <w:szCs w:val="28"/>
        </w:rPr>
        <w:t>składania wniosków</w:t>
      </w:r>
      <w:r w:rsidRPr="00AB6B5D">
        <w:t xml:space="preserve"> </w:t>
      </w:r>
      <w:r w:rsidRPr="00AB6B5D">
        <w:rPr>
          <w:b/>
          <w:sz w:val="28"/>
          <w:szCs w:val="28"/>
        </w:rPr>
        <w:t>w ramach modułu I</w:t>
      </w:r>
      <w:r>
        <w:rPr>
          <w:b/>
          <w:sz w:val="28"/>
          <w:szCs w:val="28"/>
        </w:rPr>
        <w:t>I</w:t>
      </w:r>
      <w:r w:rsidRPr="00AB6B5D">
        <w:rPr>
          <w:b/>
          <w:sz w:val="28"/>
          <w:szCs w:val="28"/>
        </w:rPr>
        <w:t xml:space="preserve"> „</w:t>
      </w:r>
      <w:r>
        <w:rPr>
          <w:b/>
          <w:sz w:val="28"/>
          <w:szCs w:val="28"/>
        </w:rPr>
        <w:t>Staże zawodowe</w:t>
      </w:r>
      <w:r w:rsidRPr="00AB6B5D">
        <w:rPr>
          <w:b/>
          <w:sz w:val="28"/>
          <w:szCs w:val="28"/>
        </w:rPr>
        <w:t>”</w:t>
      </w:r>
    </w:p>
    <w:p w14:paraId="475D7DC2" w14:textId="77777777" w:rsidR="00B219BA" w:rsidRPr="00B36CD4" w:rsidRDefault="00ED781A" w:rsidP="00555334">
      <w:pPr>
        <w:numPr>
          <w:ilvl w:val="0"/>
          <w:numId w:val="55"/>
        </w:numPr>
        <w:jc w:val="both"/>
        <w:rPr>
          <w:rFonts w:cs="Times New Roman"/>
        </w:rPr>
      </w:pPr>
      <w:bookmarkStart w:id="5" w:name="_Hlk8130684"/>
      <w:r w:rsidRPr="00B36CD4">
        <w:rPr>
          <w:rFonts w:cs="Times New Roman"/>
        </w:rPr>
        <w:t>W</w:t>
      </w:r>
      <w:r w:rsidR="0055067B" w:rsidRPr="00B36CD4">
        <w:rPr>
          <w:rFonts w:cs="Times New Roman"/>
        </w:rPr>
        <w:t xml:space="preserve">arunkiem ogłoszenia konkursu </w:t>
      </w:r>
      <w:r w:rsidRPr="00B36CD4">
        <w:rPr>
          <w:rFonts w:cs="Times New Roman"/>
        </w:rPr>
        <w:t xml:space="preserve">w ramach modułu II „Staże zawodowe” jest </w:t>
      </w:r>
      <w:r w:rsidR="008D42C8" w:rsidRPr="00B36CD4">
        <w:rPr>
          <w:rFonts w:cs="Times New Roman"/>
        </w:rPr>
        <w:t xml:space="preserve">zadeklarowanie przez organy administracji rządowej </w:t>
      </w:r>
      <w:r w:rsidRPr="00B36CD4">
        <w:rPr>
          <w:rFonts w:cs="Times New Roman"/>
        </w:rPr>
        <w:t xml:space="preserve">takiej liczby </w:t>
      </w:r>
      <w:r w:rsidR="0078262B" w:rsidRPr="00B36CD4">
        <w:rPr>
          <w:rFonts w:cs="Times New Roman"/>
        </w:rPr>
        <w:t>stanowisk</w:t>
      </w:r>
      <w:r w:rsidR="001E4805">
        <w:rPr>
          <w:rFonts w:cs="Times New Roman"/>
        </w:rPr>
        <w:t>,</w:t>
      </w:r>
      <w:r w:rsidR="0078262B" w:rsidRPr="00B36CD4">
        <w:rPr>
          <w:rFonts w:cs="Times New Roman"/>
        </w:rPr>
        <w:t xml:space="preserve"> na których realizowane będą staże zawodowe,</w:t>
      </w:r>
      <w:r w:rsidRPr="00B36CD4">
        <w:rPr>
          <w:rFonts w:cs="Times New Roman"/>
        </w:rPr>
        <w:t xml:space="preserve"> która pozwoli na racjonalną i</w:t>
      </w:r>
      <w:r w:rsidR="008D42C8" w:rsidRPr="00B36CD4">
        <w:rPr>
          <w:rFonts w:cs="Times New Roman"/>
        </w:rPr>
        <w:t> </w:t>
      </w:r>
      <w:r w:rsidRPr="00B36CD4">
        <w:rPr>
          <w:rFonts w:cs="Times New Roman"/>
        </w:rPr>
        <w:t>efektywną realizację konkursu.</w:t>
      </w:r>
    </w:p>
    <w:bookmarkEnd w:id="5"/>
    <w:p w14:paraId="68AE4E1F" w14:textId="412BAFD7" w:rsidR="00C24A82" w:rsidRPr="000B1785" w:rsidRDefault="00C24A82" w:rsidP="00555334">
      <w:pPr>
        <w:numPr>
          <w:ilvl w:val="0"/>
          <w:numId w:val="55"/>
        </w:numPr>
        <w:spacing w:before="120"/>
        <w:ind w:left="357" w:hanging="357"/>
        <w:jc w:val="both"/>
        <w:rPr>
          <w:rFonts w:cs="Times New Roman"/>
        </w:rPr>
      </w:pPr>
      <w:r w:rsidRPr="000B1785">
        <w:rPr>
          <w:rFonts w:cs="Times New Roman"/>
        </w:rPr>
        <w:lastRenderedPageBreak/>
        <w:t>Przed ogłoszeniem konkursu Biuro PFRON skieruje do organów administracji rządowej zaproszenie do udziału w ramach modułu II „Staże zawodowe” wraz z prośbą o</w:t>
      </w:r>
      <w:r w:rsidR="00EE3918">
        <w:rPr>
          <w:rFonts w:cs="Times New Roman"/>
        </w:rPr>
        <w:t xml:space="preserve"> </w:t>
      </w:r>
      <w:r w:rsidRPr="000B1785">
        <w:rPr>
          <w:rFonts w:cs="Times New Roman"/>
        </w:rPr>
        <w:t xml:space="preserve">zadeklarowanie liczby </w:t>
      </w:r>
      <w:r>
        <w:rPr>
          <w:rFonts w:cs="Times New Roman"/>
        </w:rPr>
        <w:t>stanowisk</w:t>
      </w:r>
      <w:r w:rsidRPr="000B1785">
        <w:rPr>
          <w:rFonts w:cs="Times New Roman"/>
        </w:rPr>
        <w:t xml:space="preserve"> na których beneficjenci ostateczni będą odbywali staż zawodowy w ramach programu. Deklaracja powinna zawierać w szczególności:</w:t>
      </w:r>
    </w:p>
    <w:p w14:paraId="01F7E284" w14:textId="77777777" w:rsidR="00C24A82" w:rsidRPr="00D6164A" w:rsidRDefault="00C24A82" w:rsidP="00555334">
      <w:pPr>
        <w:pStyle w:val="Akapitzlist"/>
        <w:numPr>
          <w:ilvl w:val="0"/>
          <w:numId w:val="56"/>
        </w:numPr>
        <w:spacing w:before="60"/>
        <w:ind w:left="714" w:hanging="357"/>
        <w:jc w:val="both"/>
      </w:pPr>
      <w:r w:rsidRPr="00D6164A">
        <w:t>nazwy i adresy poszczególnych jednostek organizacyjnych organu administracji rządowej (dział/wydział/departament, itp.) w których realizowane będą staże zawodowe;</w:t>
      </w:r>
    </w:p>
    <w:p w14:paraId="1DB9A0F8" w14:textId="77777777" w:rsidR="00C24A82" w:rsidRPr="00D6164A" w:rsidRDefault="00C24A82" w:rsidP="00555334">
      <w:pPr>
        <w:pStyle w:val="Akapitzlist"/>
        <w:numPr>
          <w:ilvl w:val="0"/>
          <w:numId w:val="56"/>
        </w:numPr>
        <w:spacing w:before="60"/>
        <w:ind w:left="714" w:hanging="357"/>
        <w:jc w:val="both"/>
      </w:pPr>
      <w:r w:rsidRPr="00D6164A">
        <w:t>liczbę stanowisk w poszczególnych jednostkach organizacyjnych organu administracji rządowej, na których realizowane będą staże zawodowe;</w:t>
      </w:r>
    </w:p>
    <w:p w14:paraId="75611AB7" w14:textId="77777777" w:rsidR="00C24A82" w:rsidRPr="00D6164A" w:rsidRDefault="00C24A82" w:rsidP="00555334">
      <w:pPr>
        <w:pStyle w:val="Akapitzlist"/>
        <w:numPr>
          <w:ilvl w:val="0"/>
          <w:numId w:val="56"/>
        </w:numPr>
        <w:spacing w:before="60"/>
        <w:ind w:left="714" w:hanging="357"/>
        <w:jc w:val="both"/>
      </w:pPr>
      <w:r w:rsidRPr="00D6164A">
        <w:t>preferowany termin rozpoczęcia i zakończenia realizacji staży zawodowych w organie administracji rządowej;</w:t>
      </w:r>
    </w:p>
    <w:p w14:paraId="294AE068" w14:textId="77777777" w:rsidR="00C24A82" w:rsidRPr="00D6164A" w:rsidRDefault="00C24A82" w:rsidP="00555334">
      <w:pPr>
        <w:pStyle w:val="Akapitzlist"/>
        <w:numPr>
          <w:ilvl w:val="0"/>
          <w:numId w:val="56"/>
        </w:numPr>
        <w:spacing w:before="60"/>
        <w:ind w:left="714" w:hanging="357"/>
        <w:jc w:val="both"/>
      </w:pPr>
      <w:r w:rsidRPr="00D6164A">
        <w:t>preferowany okres realizacji poszczególnych staży zawodowych (z zastrzeżeniem, iż musi on</w:t>
      </w:r>
      <w:r>
        <w:t> </w:t>
      </w:r>
      <w:r w:rsidRPr="00D6164A">
        <w:t>wynosić co najmniej 3 miesiące, jednak nie dłużej niż 12 miesięcy);</w:t>
      </w:r>
    </w:p>
    <w:p w14:paraId="388FCE6C" w14:textId="77777777" w:rsidR="00C24A82" w:rsidRPr="00D6164A" w:rsidRDefault="00C24A82" w:rsidP="00555334">
      <w:pPr>
        <w:pStyle w:val="Akapitzlist"/>
        <w:numPr>
          <w:ilvl w:val="0"/>
          <w:numId w:val="56"/>
        </w:numPr>
        <w:spacing w:before="60"/>
        <w:ind w:left="714" w:hanging="357"/>
        <w:jc w:val="both"/>
      </w:pPr>
      <w:r w:rsidRPr="00D6164A">
        <w:t>minimalny zakres posiadanych przez beneficjenta ostatecznego kwalifikacji i umiejętności niezbędnych do realizacji stażu zawodowego na danym stanowisku;</w:t>
      </w:r>
    </w:p>
    <w:p w14:paraId="7FEEDA80" w14:textId="77777777" w:rsidR="00C24A82" w:rsidRPr="00D6164A" w:rsidRDefault="00C24A82" w:rsidP="00555334">
      <w:pPr>
        <w:pStyle w:val="Akapitzlist"/>
        <w:numPr>
          <w:ilvl w:val="0"/>
          <w:numId w:val="56"/>
        </w:numPr>
        <w:spacing w:before="60"/>
        <w:ind w:left="714" w:hanging="357"/>
        <w:jc w:val="both"/>
      </w:pPr>
      <w:r w:rsidRPr="00D6164A">
        <w:t xml:space="preserve">planowany zakres zadań wykonywanych w ramach stażu zawodowego przez beneficjentów ostatecznych </w:t>
      </w:r>
      <w:bookmarkStart w:id="6" w:name="_Hlk8128751"/>
      <w:r w:rsidRPr="00D6164A">
        <w:t>na poszczególnych</w:t>
      </w:r>
      <w:bookmarkEnd w:id="6"/>
      <w:r w:rsidRPr="00D6164A">
        <w:t xml:space="preserve"> stanowiskach;</w:t>
      </w:r>
    </w:p>
    <w:p w14:paraId="09415577" w14:textId="77777777" w:rsidR="00C24A82" w:rsidRPr="00D6164A" w:rsidRDefault="00C24A82" w:rsidP="00555334">
      <w:pPr>
        <w:pStyle w:val="Akapitzlist"/>
        <w:numPr>
          <w:ilvl w:val="0"/>
          <w:numId w:val="56"/>
        </w:numPr>
        <w:spacing w:before="60"/>
        <w:ind w:left="714" w:hanging="357"/>
        <w:jc w:val="both"/>
      </w:pPr>
      <w:r w:rsidRPr="00D6164A">
        <w:t>rodzaj kwalifikacji lub umiejętności zawodowych uzyskanych przez beneficjentów ostatecznych na poszczególnych stanowiskach;</w:t>
      </w:r>
    </w:p>
    <w:p w14:paraId="2A787E8A" w14:textId="611DD657" w:rsidR="00C24A82" w:rsidRPr="00D6164A" w:rsidRDefault="00875FD2" w:rsidP="00555334">
      <w:pPr>
        <w:pStyle w:val="Akapitzlist"/>
        <w:numPr>
          <w:ilvl w:val="0"/>
          <w:numId w:val="56"/>
        </w:numPr>
        <w:spacing w:before="60"/>
        <w:ind w:left="714" w:hanging="357"/>
        <w:jc w:val="both"/>
      </w:pPr>
      <w:r w:rsidRPr="00EE3918">
        <w:t>deklarację</w:t>
      </w:r>
      <w:r>
        <w:t xml:space="preserve"> </w:t>
      </w:r>
      <w:r w:rsidR="00C24A82" w:rsidRPr="00D6164A">
        <w:t>do zawarcia umowy z wybraną w drodze konkursu organizacją pozarządową, w</w:t>
      </w:r>
      <w:r w:rsidR="00EE3918">
        <w:t> </w:t>
      </w:r>
      <w:r w:rsidR="00C24A82" w:rsidRPr="00D6164A">
        <w:t>której określone zostaną szczegółowe warunki realizacji staży zawodowych w poszczególnych jednostkach organizacyjnych organu administracji rządowej.</w:t>
      </w:r>
    </w:p>
    <w:p w14:paraId="6B9B3279" w14:textId="77777777" w:rsidR="004A3167" w:rsidRPr="00B36CD4" w:rsidRDefault="004A3167" w:rsidP="00555334">
      <w:pPr>
        <w:numPr>
          <w:ilvl w:val="0"/>
          <w:numId w:val="55"/>
        </w:numPr>
        <w:spacing w:before="120"/>
        <w:jc w:val="both"/>
        <w:rPr>
          <w:rFonts w:cs="Times New Roman"/>
        </w:rPr>
      </w:pPr>
      <w:r w:rsidRPr="00B36CD4">
        <w:rPr>
          <w:rFonts w:cs="Times New Roman"/>
        </w:rPr>
        <w:t>Informacje wynikające z deklaracji, o których mowa w ust. 2, zamieszczane są na liście organów administracji rządowej, które przyjmą na staż zawodowy beneficjentów ostatecznych, stanowiącej załącznik do ogłoszenia o konkursie.</w:t>
      </w:r>
    </w:p>
    <w:p w14:paraId="3BEC2A98" w14:textId="77777777" w:rsidR="00367318" w:rsidRPr="005E037B" w:rsidRDefault="005E037B" w:rsidP="00555334">
      <w:pPr>
        <w:numPr>
          <w:ilvl w:val="0"/>
          <w:numId w:val="55"/>
        </w:numPr>
        <w:spacing w:before="120"/>
        <w:jc w:val="both"/>
        <w:rPr>
          <w:rFonts w:cs="Times New Roman"/>
        </w:rPr>
      </w:pPr>
      <w:bookmarkStart w:id="7" w:name="_Hlk8922283"/>
      <w:r w:rsidRPr="005E037B">
        <w:rPr>
          <w:rFonts w:cs="Times New Roman"/>
        </w:rPr>
        <w:t>Wnioski składane są w Biurze PFRON, w terminie wskazanym w ogłoszeniu o konkursie</w:t>
      </w:r>
      <w:bookmarkEnd w:id="7"/>
      <w:r w:rsidRPr="005E037B">
        <w:rPr>
          <w:rFonts w:cs="Times New Roman"/>
        </w:rPr>
        <w:t>.</w:t>
      </w:r>
      <w:r w:rsidR="00367318" w:rsidRPr="00367318">
        <w:rPr>
          <w:rFonts w:cs="Times New Roman"/>
        </w:rPr>
        <w:t xml:space="preserve"> </w:t>
      </w:r>
      <w:r w:rsidR="00367318">
        <w:rPr>
          <w:rFonts w:cs="Times New Roman"/>
        </w:rPr>
        <w:t>Za </w:t>
      </w:r>
      <w:r w:rsidR="00367318" w:rsidRPr="005E037B">
        <w:rPr>
          <w:rFonts w:cs="Times New Roman"/>
        </w:rPr>
        <w:t xml:space="preserve">datę złożenia wniosku uważa się datę jego </w:t>
      </w:r>
      <w:r w:rsidR="00367318">
        <w:rPr>
          <w:rFonts w:cs="Times New Roman"/>
        </w:rPr>
        <w:t>wpływu</w:t>
      </w:r>
      <w:r w:rsidR="00367318" w:rsidRPr="005E037B">
        <w:rPr>
          <w:rFonts w:cs="Times New Roman"/>
        </w:rPr>
        <w:t xml:space="preserve"> do Biura PFRON, a w przypadku wniosków składanych drogą pocztową, datę stempla pocztowego.</w:t>
      </w:r>
    </w:p>
    <w:p w14:paraId="6E2ACC94" w14:textId="77777777" w:rsidR="005E037B" w:rsidRDefault="009A4E2E" w:rsidP="00555334">
      <w:pPr>
        <w:numPr>
          <w:ilvl w:val="0"/>
          <w:numId w:val="55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>W</w:t>
      </w:r>
      <w:r w:rsidR="005E037B" w:rsidRPr="005E037B">
        <w:rPr>
          <w:rFonts w:cs="Times New Roman"/>
        </w:rPr>
        <w:t>niosek sporządza się na formularzu stanowiącym załącznik do procedur. Dodatkowo,</w:t>
      </w:r>
      <w:r w:rsidR="008245DB">
        <w:rPr>
          <w:rFonts w:cs="Times New Roman"/>
        </w:rPr>
        <w:t xml:space="preserve"> </w:t>
      </w:r>
      <w:r w:rsidR="005E037B" w:rsidRPr="005E037B">
        <w:rPr>
          <w:rFonts w:cs="Times New Roman"/>
        </w:rPr>
        <w:t xml:space="preserve">wymagane jest dostarczenie wersji elektronicznej wniosku (plik MS Word) oraz wersji elektronicznej </w:t>
      </w:r>
      <w:r w:rsidR="001C5C8C" w:rsidRPr="00BB2912">
        <w:rPr>
          <w:rFonts w:cs="Times New Roman"/>
        </w:rPr>
        <w:t>harmonogramu realizacji projektu</w:t>
      </w:r>
      <w:r w:rsidR="005E037B" w:rsidRPr="00BB2912">
        <w:rPr>
          <w:rFonts w:cs="Times New Roman"/>
        </w:rPr>
        <w:t xml:space="preserve"> i</w:t>
      </w:r>
      <w:r w:rsidR="005E037B" w:rsidRPr="005E037B">
        <w:rPr>
          <w:rFonts w:cs="Times New Roman"/>
        </w:rPr>
        <w:t xml:space="preserve"> budżetu projektu (plik MS Excel).</w:t>
      </w:r>
    </w:p>
    <w:p w14:paraId="77CFCF99" w14:textId="77777777" w:rsidR="00A56FC4" w:rsidRDefault="00A56FC4" w:rsidP="00555334">
      <w:pPr>
        <w:numPr>
          <w:ilvl w:val="0"/>
          <w:numId w:val="55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>W przypadku wniosków wspólnych</w:t>
      </w:r>
      <w:r w:rsidR="00B36CD4">
        <w:rPr>
          <w:rFonts w:cs="Times New Roman"/>
        </w:rPr>
        <w:t xml:space="preserve"> </w:t>
      </w:r>
      <w:r>
        <w:rPr>
          <w:rFonts w:cs="Times New Roman"/>
        </w:rPr>
        <w:t>stosuje się następujące zasady:</w:t>
      </w:r>
    </w:p>
    <w:p w14:paraId="7A5C25E0" w14:textId="253A04BF" w:rsidR="00A56FC4" w:rsidRDefault="00A56FC4" w:rsidP="00555334">
      <w:pPr>
        <w:numPr>
          <w:ilvl w:val="0"/>
          <w:numId w:val="34"/>
        </w:numPr>
        <w:spacing w:before="60"/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r w:rsidRPr="008D0547">
        <w:rPr>
          <w:rFonts w:cs="Times New Roman"/>
        </w:rPr>
        <w:t>umowie zawartej pomiędzy Wnioskodawcami</w:t>
      </w:r>
      <w:r>
        <w:rPr>
          <w:rFonts w:cs="Times New Roman"/>
        </w:rPr>
        <w:t>,</w:t>
      </w:r>
      <w:r w:rsidRPr="008D0547">
        <w:rPr>
          <w:rFonts w:cs="Times New Roman"/>
        </w:rPr>
        <w:t xml:space="preserve"> określającej zakres ich świadczeń składających się na realizację projektu, musi zos</w:t>
      </w:r>
      <w:r>
        <w:rPr>
          <w:rFonts w:cs="Times New Roman"/>
        </w:rPr>
        <w:t>tać wskazany Wnioskodawca</w:t>
      </w:r>
      <w:r w:rsidR="00EE3918">
        <w:rPr>
          <w:rFonts w:cs="Times New Roman"/>
        </w:rPr>
        <w:t>-</w:t>
      </w:r>
      <w:r>
        <w:rPr>
          <w:rFonts w:cs="Times New Roman"/>
        </w:rPr>
        <w:t>Lider;</w:t>
      </w:r>
    </w:p>
    <w:p w14:paraId="3C2607F9" w14:textId="77777777" w:rsidR="00A56FC4" w:rsidRPr="00ED1A66" w:rsidRDefault="00A56FC4" w:rsidP="00555334">
      <w:pPr>
        <w:numPr>
          <w:ilvl w:val="0"/>
          <w:numId w:val="34"/>
        </w:numPr>
        <w:spacing w:before="60"/>
        <w:jc w:val="both"/>
        <w:rPr>
          <w:rFonts w:cs="Times New Roman"/>
        </w:rPr>
      </w:pPr>
      <w:r w:rsidRPr="00ED1A66">
        <w:rPr>
          <w:rFonts w:cs="Times New Roman"/>
        </w:rPr>
        <w:t>Wnioskodawca-Lider odpowiedzialny jest, w szczególności, za przygotowanie i przekazanie do PFRON kompletu dokumentów rozliczeniowych z przyznanego dofinansowania; odpowiedzialność Lidera polega również na weryfikacji przedkładanych Liderowi przez pozostałych Wnioskodawców dokumentów rozliczeniowych, na podstawie których Lider przygotowuje zbiorcze zestawienie dokumentów do PFRON.</w:t>
      </w:r>
    </w:p>
    <w:p w14:paraId="1A0CB034" w14:textId="77777777" w:rsidR="00A56FC4" w:rsidRPr="008245DB" w:rsidRDefault="00A56FC4" w:rsidP="00555334">
      <w:pPr>
        <w:numPr>
          <w:ilvl w:val="0"/>
          <w:numId w:val="55"/>
        </w:numPr>
        <w:spacing w:before="120"/>
        <w:jc w:val="both"/>
        <w:rPr>
          <w:rFonts w:cs="Times New Roman"/>
        </w:rPr>
      </w:pPr>
      <w:r w:rsidRPr="008245DB">
        <w:rPr>
          <w:rFonts w:cs="Times New Roman"/>
        </w:rPr>
        <w:t>Wniosek stanowi ofertę zawarcia umowy cywilnoprawnej i jego rozpatrzenie nie podlega przepisom kodeksu postępowania administracyjnego.</w:t>
      </w:r>
    </w:p>
    <w:p w14:paraId="73D07F13" w14:textId="3DD4DBD8" w:rsidR="00A56FC4" w:rsidRDefault="00A56FC4" w:rsidP="00555334">
      <w:pPr>
        <w:numPr>
          <w:ilvl w:val="0"/>
          <w:numId w:val="55"/>
        </w:numPr>
        <w:spacing w:before="120"/>
        <w:jc w:val="both"/>
        <w:rPr>
          <w:rFonts w:cs="Times New Roman"/>
        </w:rPr>
      </w:pPr>
      <w:r w:rsidRPr="008245DB">
        <w:rPr>
          <w:rFonts w:cs="Times New Roman"/>
        </w:rPr>
        <w:t>PFRON nie refunduje kosztów związanych z przygotowaniem wniosku</w:t>
      </w:r>
      <w:r>
        <w:rPr>
          <w:rFonts w:cs="Times New Roman"/>
        </w:rPr>
        <w:t>.</w:t>
      </w:r>
    </w:p>
    <w:p w14:paraId="2A02B9BF" w14:textId="459CAAC7" w:rsidR="00EE3918" w:rsidRDefault="00EE3918" w:rsidP="00EE3918">
      <w:pPr>
        <w:jc w:val="both"/>
        <w:rPr>
          <w:rFonts w:cs="Times New Roman"/>
        </w:rPr>
      </w:pPr>
    </w:p>
    <w:p w14:paraId="26507EB1" w14:textId="22B12F3A" w:rsidR="00EE3918" w:rsidRDefault="00EE3918" w:rsidP="00EE3918">
      <w:pPr>
        <w:jc w:val="both"/>
        <w:rPr>
          <w:rFonts w:cs="Times New Roman"/>
        </w:rPr>
      </w:pPr>
    </w:p>
    <w:p w14:paraId="026D92C0" w14:textId="2D4FC1F1" w:rsidR="00EE3918" w:rsidRDefault="00EE3918" w:rsidP="00EE3918">
      <w:pPr>
        <w:jc w:val="both"/>
        <w:rPr>
          <w:rFonts w:cs="Times New Roman"/>
        </w:rPr>
      </w:pPr>
    </w:p>
    <w:p w14:paraId="67D0173C" w14:textId="68EBA942" w:rsidR="00EE3918" w:rsidRDefault="00EE3918" w:rsidP="00EE3918">
      <w:pPr>
        <w:jc w:val="both"/>
        <w:rPr>
          <w:rFonts w:cs="Times New Roman"/>
        </w:rPr>
      </w:pPr>
    </w:p>
    <w:p w14:paraId="33C9285D" w14:textId="77777777" w:rsidR="00EE3918" w:rsidRDefault="00EE3918" w:rsidP="00EE3918">
      <w:pPr>
        <w:jc w:val="both"/>
        <w:rPr>
          <w:rFonts w:cs="Times New Roman"/>
        </w:rPr>
      </w:pPr>
    </w:p>
    <w:p w14:paraId="20A7E0FC" w14:textId="77777777" w:rsidR="008245DB" w:rsidRPr="008245DB" w:rsidRDefault="008245DB" w:rsidP="008245DB">
      <w:pPr>
        <w:pStyle w:val="NormalnyWeb"/>
        <w:spacing w:before="360" w:beforeAutospacing="0" w:after="240" w:afterAutospacing="0"/>
        <w:ind w:left="851" w:hanging="851"/>
        <w:jc w:val="both"/>
        <w:rPr>
          <w:b/>
          <w:sz w:val="28"/>
          <w:szCs w:val="28"/>
        </w:rPr>
      </w:pPr>
      <w:bookmarkStart w:id="8" w:name="_Hlk11249861"/>
      <w:r w:rsidRPr="008245DB">
        <w:rPr>
          <w:b/>
          <w:sz w:val="28"/>
          <w:szCs w:val="28"/>
        </w:rPr>
        <w:lastRenderedPageBreak/>
        <w:t>V</w:t>
      </w:r>
      <w:r>
        <w:rPr>
          <w:b/>
          <w:sz w:val="28"/>
          <w:szCs w:val="28"/>
        </w:rPr>
        <w:t>II</w:t>
      </w:r>
      <w:r w:rsidRPr="008245DB">
        <w:rPr>
          <w:b/>
          <w:sz w:val="28"/>
          <w:szCs w:val="28"/>
        </w:rPr>
        <w:t>.2.</w:t>
      </w:r>
      <w:r w:rsidRPr="008245DB">
        <w:rPr>
          <w:b/>
          <w:sz w:val="28"/>
          <w:szCs w:val="28"/>
        </w:rPr>
        <w:tab/>
        <w:t>Ocena wniosków w ramach modułu I</w:t>
      </w:r>
      <w:r>
        <w:rPr>
          <w:b/>
          <w:sz w:val="28"/>
          <w:szCs w:val="28"/>
        </w:rPr>
        <w:t>I</w:t>
      </w:r>
      <w:r w:rsidRPr="008245DB">
        <w:rPr>
          <w:b/>
          <w:sz w:val="28"/>
          <w:szCs w:val="28"/>
        </w:rPr>
        <w:t xml:space="preserve"> „</w:t>
      </w:r>
      <w:r>
        <w:rPr>
          <w:b/>
          <w:sz w:val="28"/>
          <w:szCs w:val="28"/>
        </w:rPr>
        <w:t>Staże zawodowe</w:t>
      </w:r>
      <w:r w:rsidRPr="008245DB">
        <w:rPr>
          <w:b/>
          <w:sz w:val="28"/>
          <w:szCs w:val="28"/>
        </w:rPr>
        <w:t>”</w:t>
      </w:r>
    </w:p>
    <w:p w14:paraId="636ED85F" w14:textId="75C6848D" w:rsidR="008245DB" w:rsidRPr="00B745B6" w:rsidRDefault="00A268F4" w:rsidP="00555334">
      <w:pPr>
        <w:numPr>
          <w:ilvl w:val="0"/>
          <w:numId w:val="53"/>
        </w:numPr>
        <w:jc w:val="both"/>
        <w:rPr>
          <w:rFonts w:cs="Times New Roman"/>
        </w:rPr>
      </w:pPr>
      <w:bookmarkStart w:id="9" w:name="_Hlk8922314"/>
      <w:bookmarkEnd w:id="8"/>
      <w:r w:rsidRPr="00A0166F">
        <w:rPr>
          <w:rFonts w:cs="Times New Roman"/>
        </w:rPr>
        <w:t xml:space="preserve">Ocena formalna </w:t>
      </w:r>
      <w:r w:rsidR="00631C7C" w:rsidRPr="00B36CD4">
        <w:rPr>
          <w:rFonts w:cs="Times New Roman"/>
        </w:rPr>
        <w:t>i merytoryczna</w:t>
      </w:r>
      <w:r w:rsidR="00631C7C">
        <w:rPr>
          <w:rFonts w:cs="Times New Roman"/>
        </w:rPr>
        <w:t xml:space="preserve"> </w:t>
      </w:r>
      <w:r w:rsidRPr="00A0166F">
        <w:rPr>
          <w:rFonts w:cs="Times New Roman"/>
        </w:rPr>
        <w:t xml:space="preserve">wniosków przeprowadzana jest przez </w:t>
      </w:r>
      <w:r w:rsidR="00631C7C" w:rsidRPr="00B36CD4">
        <w:rPr>
          <w:rFonts w:cs="Times New Roman"/>
        </w:rPr>
        <w:t>komisję konkursową</w:t>
      </w:r>
      <w:r w:rsidR="00631C7C">
        <w:rPr>
          <w:rFonts w:cs="Times New Roman"/>
        </w:rPr>
        <w:t xml:space="preserve"> </w:t>
      </w:r>
      <w:r w:rsidRPr="00A0166F">
        <w:rPr>
          <w:rFonts w:cs="Times New Roman"/>
        </w:rPr>
        <w:t>w</w:t>
      </w:r>
      <w:r w:rsidR="00B36CD4">
        <w:rPr>
          <w:rFonts w:cs="Times New Roman"/>
        </w:rPr>
        <w:t> </w:t>
      </w:r>
      <w:r w:rsidRPr="00A0166F">
        <w:rPr>
          <w:rFonts w:cs="Times New Roman"/>
        </w:rPr>
        <w:t>terminie 20 dni roboczych od</w:t>
      </w:r>
      <w:r w:rsidR="00631C7C">
        <w:rPr>
          <w:rFonts w:cs="Times New Roman"/>
        </w:rPr>
        <w:t xml:space="preserve"> </w:t>
      </w:r>
      <w:r w:rsidRPr="00A0166F">
        <w:rPr>
          <w:rFonts w:cs="Times New Roman"/>
        </w:rPr>
        <w:t xml:space="preserve">daty </w:t>
      </w:r>
      <w:r>
        <w:rPr>
          <w:rFonts w:cs="Times New Roman"/>
        </w:rPr>
        <w:t xml:space="preserve">wpływu </w:t>
      </w:r>
      <w:r w:rsidRPr="00A268F4">
        <w:rPr>
          <w:rFonts w:cs="Times New Roman"/>
        </w:rPr>
        <w:t>do Biura PFRON</w:t>
      </w:r>
      <w:r w:rsidR="009A4E2E" w:rsidRPr="009A4E2E">
        <w:rPr>
          <w:rFonts w:cs="Times New Roman"/>
        </w:rPr>
        <w:t xml:space="preserve"> </w:t>
      </w:r>
      <w:r w:rsidR="009A4E2E" w:rsidRPr="00A268F4">
        <w:rPr>
          <w:rFonts w:cs="Times New Roman"/>
        </w:rPr>
        <w:t>ostatniego wniosku w ramach konkursu</w:t>
      </w:r>
      <w:r w:rsidRPr="00A268F4">
        <w:rPr>
          <w:rFonts w:cs="Times New Roman"/>
        </w:rPr>
        <w:t xml:space="preserve">, </w:t>
      </w:r>
      <w:r w:rsidR="009A4E2E">
        <w:rPr>
          <w:rFonts w:cs="Times New Roman"/>
        </w:rPr>
        <w:t xml:space="preserve">złożonego </w:t>
      </w:r>
      <w:r w:rsidRPr="00A268F4">
        <w:rPr>
          <w:rFonts w:cs="Times New Roman"/>
        </w:rPr>
        <w:t>zgodnie ze wskazanym w ogłoszeniu o konkursie terminie, z</w:t>
      </w:r>
      <w:r w:rsidR="00631C7C">
        <w:rPr>
          <w:rFonts w:cs="Times New Roman"/>
        </w:rPr>
        <w:t> </w:t>
      </w:r>
      <w:r w:rsidRPr="00A268F4">
        <w:rPr>
          <w:rFonts w:cs="Times New Roman"/>
        </w:rPr>
        <w:t xml:space="preserve">uwzględnieniem postanowień </w:t>
      </w:r>
      <w:r w:rsidRPr="00547507">
        <w:rPr>
          <w:rFonts w:cs="Times New Roman"/>
        </w:rPr>
        <w:t>rozdziału VII.1 ust. </w:t>
      </w:r>
      <w:r w:rsidR="00547507" w:rsidRPr="00547507">
        <w:rPr>
          <w:rFonts w:cs="Times New Roman"/>
        </w:rPr>
        <w:t>4</w:t>
      </w:r>
      <w:r w:rsidR="007B1E41" w:rsidRPr="00547507">
        <w:rPr>
          <w:rFonts w:cs="Times New Roman"/>
        </w:rPr>
        <w:t xml:space="preserve"> niniejszego dokumentu</w:t>
      </w:r>
      <w:r w:rsidR="008245DB" w:rsidRPr="00B745B6">
        <w:rPr>
          <w:rFonts w:cs="Times New Roman"/>
        </w:rPr>
        <w:t>.</w:t>
      </w:r>
      <w:r w:rsidR="00E9671A" w:rsidRPr="00B745B6">
        <w:rPr>
          <w:rFonts w:cs="Times New Roman"/>
        </w:rPr>
        <w:t xml:space="preserve"> </w:t>
      </w:r>
      <w:r w:rsidR="00E9671A" w:rsidRPr="00B36CD4">
        <w:rPr>
          <w:rFonts w:cs="Times New Roman"/>
        </w:rPr>
        <w:t>Wnioski</w:t>
      </w:r>
      <w:r w:rsidR="00F235B5" w:rsidRPr="00B36CD4">
        <w:rPr>
          <w:rFonts w:cs="Times New Roman"/>
        </w:rPr>
        <w:t xml:space="preserve"> złożone przez podmioty nieuprawnione do udziału w konkursie lub wnioski </w:t>
      </w:r>
      <w:r w:rsidR="00E9671A" w:rsidRPr="00B36CD4">
        <w:rPr>
          <w:rFonts w:cs="Times New Roman"/>
        </w:rPr>
        <w:t>organizacj</w:t>
      </w:r>
      <w:r w:rsidR="0027279D" w:rsidRPr="00B36CD4">
        <w:rPr>
          <w:rFonts w:cs="Times New Roman"/>
        </w:rPr>
        <w:t>i</w:t>
      </w:r>
      <w:r w:rsidR="00E9671A" w:rsidRPr="00B36CD4">
        <w:rPr>
          <w:rFonts w:cs="Times New Roman"/>
        </w:rPr>
        <w:t xml:space="preserve"> pozarządow</w:t>
      </w:r>
      <w:r w:rsidR="0027279D" w:rsidRPr="00B36CD4">
        <w:rPr>
          <w:rFonts w:cs="Times New Roman"/>
        </w:rPr>
        <w:t>ych</w:t>
      </w:r>
      <w:r w:rsidR="00E9671A" w:rsidRPr="00B36CD4">
        <w:rPr>
          <w:rFonts w:cs="Times New Roman"/>
        </w:rPr>
        <w:t xml:space="preserve"> wykluczon</w:t>
      </w:r>
      <w:r w:rsidR="0027279D" w:rsidRPr="00B36CD4">
        <w:rPr>
          <w:rFonts w:cs="Times New Roman"/>
        </w:rPr>
        <w:t>ych</w:t>
      </w:r>
      <w:r w:rsidR="00E9671A" w:rsidRPr="00B36CD4">
        <w:rPr>
          <w:rFonts w:cs="Times New Roman"/>
        </w:rPr>
        <w:t xml:space="preserve"> z udziału w konkursie na podstawie postanowień </w:t>
      </w:r>
      <w:r w:rsidR="004F2DAA">
        <w:rPr>
          <w:rFonts w:cs="Times New Roman"/>
        </w:rPr>
        <w:t>r</w:t>
      </w:r>
      <w:r w:rsidR="00E9671A" w:rsidRPr="00B36CD4">
        <w:rPr>
          <w:rFonts w:cs="Times New Roman"/>
        </w:rPr>
        <w:t xml:space="preserve">ozdziału VII ust. 2 programu nie </w:t>
      </w:r>
      <w:r w:rsidR="0027279D" w:rsidRPr="00B36CD4">
        <w:rPr>
          <w:rFonts w:cs="Times New Roman"/>
        </w:rPr>
        <w:t>podlegają ocenie przez komisję konkursową</w:t>
      </w:r>
      <w:bookmarkEnd w:id="9"/>
      <w:r w:rsidR="0027279D" w:rsidRPr="00B36CD4">
        <w:rPr>
          <w:rFonts w:cs="Times New Roman"/>
        </w:rPr>
        <w:t>.</w:t>
      </w:r>
    </w:p>
    <w:p w14:paraId="0908409F" w14:textId="77777777" w:rsidR="00A6390B" w:rsidRDefault="00A6390B" w:rsidP="00555334">
      <w:pPr>
        <w:numPr>
          <w:ilvl w:val="0"/>
          <w:numId w:val="53"/>
        </w:numPr>
        <w:spacing w:before="120"/>
        <w:jc w:val="both"/>
        <w:rPr>
          <w:rFonts w:cs="Times New Roman"/>
        </w:rPr>
      </w:pPr>
      <w:bookmarkStart w:id="10" w:name="_Hlk8136623"/>
      <w:r w:rsidRPr="006910C8">
        <w:rPr>
          <w:rFonts w:cs="Times New Roman"/>
        </w:rPr>
        <w:t xml:space="preserve">Szczegółowe postanowienia dotyczące rozpatrywania wniosków </w:t>
      </w:r>
      <w:r>
        <w:rPr>
          <w:rFonts w:cs="Times New Roman"/>
        </w:rPr>
        <w:t xml:space="preserve">określone </w:t>
      </w:r>
      <w:r w:rsidRPr="006910C8">
        <w:rPr>
          <w:rFonts w:cs="Times New Roman"/>
        </w:rPr>
        <w:t>zostały w</w:t>
      </w:r>
      <w:r>
        <w:rPr>
          <w:rFonts w:cs="Times New Roman"/>
        </w:rPr>
        <w:t xml:space="preserve"> „</w:t>
      </w:r>
      <w:r w:rsidRPr="00A25175">
        <w:rPr>
          <w:rFonts w:cs="Times New Roman"/>
        </w:rPr>
        <w:t>Instrukcj</w:t>
      </w:r>
      <w:r>
        <w:rPr>
          <w:rFonts w:cs="Times New Roman"/>
        </w:rPr>
        <w:t>i</w:t>
      </w:r>
      <w:r w:rsidRPr="00A25175">
        <w:rPr>
          <w:rFonts w:cs="Times New Roman"/>
        </w:rPr>
        <w:t xml:space="preserve"> rozpatrywania wniosków złożonych w ramach</w:t>
      </w:r>
      <w:r>
        <w:rPr>
          <w:rFonts w:cs="Times New Roman"/>
        </w:rPr>
        <w:t xml:space="preserve"> programu”, stanowiącej załącznik do procedur.</w:t>
      </w:r>
    </w:p>
    <w:bookmarkEnd w:id="10"/>
    <w:p w14:paraId="070B9AD3" w14:textId="0694CBE8" w:rsidR="00E46026" w:rsidRPr="0027279D" w:rsidRDefault="008245DB" w:rsidP="00555334">
      <w:pPr>
        <w:numPr>
          <w:ilvl w:val="0"/>
          <w:numId w:val="53"/>
        </w:numPr>
        <w:spacing w:before="120"/>
        <w:jc w:val="both"/>
        <w:rPr>
          <w:rFonts w:cs="Times New Roman"/>
        </w:rPr>
      </w:pPr>
      <w:r w:rsidRPr="0027279D">
        <w:rPr>
          <w:rFonts w:cs="Times New Roman"/>
        </w:rPr>
        <w:t>Ewentualne nieścisłości, błędy lub braki muszą zostać poprawione lub uzupełnione przez Wnioskodawcę (Wnioskodawcę-Lidera) w terminie</w:t>
      </w:r>
      <w:r w:rsidR="00CF1AD6">
        <w:rPr>
          <w:rFonts w:cs="Times New Roman"/>
        </w:rPr>
        <w:t xml:space="preserve"> </w:t>
      </w:r>
      <w:r w:rsidR="00CF1AD6" w:rsidRPr="00EE3918">
        <w:rPr>
          <w:rFonts w:cs="Times New Roman"/>
        </w:rPr>
        <w:t>wyznaczonym przez PFRON</w:t>
      </w:r>
      <w:r w:rsidR="00E46026" w:rsidRPr="00EE3918">
        <w:rPr>
          <w:rFonts w:cs="Times New Roman"/>
        </w:rPr>
        <w:t>.</w:t>
      </w:r>
      <w:r w:rsidR="0027279D" w:rsidRPr="0027279D">
        <w:rPr>
          <w:rFonts w:cs="Times New Roman"/>
        </w:rPr>
        <w:t xml:space="preserve"> </w:t>
      </w:r>
      <w:r w:rsidR="00A268F4" w:rsidRPr="0027279D">
        <w:rPr>
          <w:rFonts w:cs="Times New Roman"/>
        </w:rPr>
        <w:t xml:space="preserve">Wezwanie Wnioskodawcy </w:t>
      </w:r>
      <w:r w:rsidR="0027279D" w:rsidRPr="0027279D">
        <w:rPr>
          <w:rFonts w:cs="Times New Roman"/>
        </w:rPr>
        <w:t>(Wnioskodawc</w:t>
      </w:r>
      <w:r w:rsidR="0027279D">
        <w:rPr>
          <w:rFonts w:cs="Times New Roman"/>
        </w:rPr>
        <w:t>y</w:t>
      </w:r>
      <w:r w:rsidR="0027279D" w:rsidRPr="0027279D">
        <w:rPr>
          <w:rFonts w:cs="Times New Roman"/>
        </w:rPr>
        <w:t xml:space="preserve">-Lidera) </w:t>
      </w:r>
      <w:r w:rsidR="00A268F4" w:rsidRPr="0027279D">
        <w:rPr>
          <w:rFonts w:cs="Times New Roman"/>
        </w:rPr>
        <w:t>do</w:t>
      </w:r>
      <w:r w:rsidR="00CF1AD6">
        <w:rPr>
          <w:rFonts w:cs="Times New Roman"/>
        </w:rPr>
        <w:t xml:space="preserve"> </w:t>
      </w:r>
      <w:r w:rsidR="00A268F4" w:rsidRPr="0027279D">
        <w:rPr>
          <w:rFonts w:cs="Times New Roman"/>
        </w:rPr>
        <w:t>uzupełnienia wniosku wstrzymuje</w:t>
      </w:r>
      <w:r w:rsidR="0027279D">
        <w:rPr>
          <w:rFonts w:cs="Times New Roman"/>
        </w:rPr>
        <w:t xml:space="preserve"> </w:t>
      </w:r>
      <w:r w:rsidR="0027279D" w:rsidRPr="00B36CD4">
        <w:rPr>
          <w:rFonts w:cs="Times New Roman"/>
        </w:rPr>
        <w:t>(w odniesieniu do danego wniosku)</w:t>
      </w:r>
      <w:r w:rsidR="00A268F4" w:rsidRPr="0027279D">
        <w:rPr>
          <w:rFonts w:cs="Times New Roman"/>
        </w:rPr>
        <w:t xml:space="preserve"> </w:t>
      </w:r>
      <w:r w:rsidR="00E9671A" w:rsidRPr="00B36CD4">
        <w:rPr>
          <w:rFonts w:cs="Times New Roman"/>
        </w:rPr>
        <w:t>bieg</w:t>
      </w:r>
      <w:r w:rsidR="00E9671A" w:rsidRPr="0027279D">
        <w:rPr>
          <w:rFonts w:cs="Times New Roman"/>
        </w:rPr>
        <w:t xml:space="preserve"> </w:t>
      </w:r>
      <w:r w:rsidR="00A268F4" w:rsidRPr="0027279D">
        <w:rPr>
          <w:rFonts w:cs="Times New Roman"/>
        </w:rPr>
        <w:t>terminu oceny, o</w:t>
      </w:r>
      <w:r w:rsidR="00B36CD4">
        <w:rPr>
          <w:rFonts w:cs="Times New Roman"/>
        </w:rPr>
        <w:t xml:space="preserve"> </w:t>
      </w:r>
      <w:r w:rsidR="00A268F4" w:rsidRPr="0027279D">
        <w:rPr>
          <w:rFonts w:cs="Times New Roman"/>
        </w:rPr>
        <w:t>którym mowa w ust. </w:t>
      </w:r>
      <w:r w:rsidR="00E46026" w:rsidRPr="0027279D">
        <w:rPr>
          <w:rFonts w:cs="Times New Roman"/>
        </w:rPr>
        <w:t>1.</w:t>
      </w:r>
    </w:p>
    <w:p w14:paraId="633F3AC3" w14:textId="26F58211" w:rsidR="008245DB" w:rsidRPr="004A08FD" w:rsidRDefault="00A268F4" w:rsidP="00555334">
      <w:pPr>
        <w:numPr>
          <w:ilvl w:val="0"/>
          <w:numId w:val="53"/>
        </w:numPr>
        <w:spacing w:before="120"/>
        <w:jc w:val="both"/>
        <w:rPr>
          <w:rFonts w:cs="Times New Roman"/>
        </w:rPr>
      </w:pPr>
      <w:r w:rsidRPr="004A08FD">
        <w:rPr>
          <w:rFonts w:cs="Times New Roman"/>
        </w:rPr>
        <w:t>Dopuszcza się możliwość przekazania przez PFRON wezwania wyłącznie pocztą elektroniczną (skan pisma) na adres e-mail Wnioskodawcy podany we wniosku – w takiej sytuacji PFRON w</w:t>
      </w:r>
      <w:r w:rsidR="009A4E2E" w:rsidRPr="004A08FD">
        <w:rPr>
          <w:rFonts w:cs="Times New Roman"/>
        </w:rPr>
        <w:t> </w:t>
      </w:r>
      <w:r w:rsidRPr="004A08FD">
        <w:rPr>
          <w:rFonts w:cs="Times New Roman"/>
        </w:rPr>
        <w:t>tym samym dniu potwierdza wysłanie wiadomości pocztą elektroniczną w rozmowie telefonicznej z osobą upoważnioną do składania wyjaśnień dotyczących wniosku.</w:t>
      </w:r>
    </w:p>
    <w:p w14:paraId="39919C83" w14:textId="48C276EB" w:rsidR="008245DB" w:rsidRPr="00547507" w:rsidRDefault="006E0263" w:rsidP="004F2DAA">
      <w:pPr>
        <w:numPr>
          <w:ilvl w:val="0"/>
          <w:numId w:val="53"/>
        </w:numPr>
        <w:spacing w:before="120"/>
        <w:jc w:val="both"/>
        <w:rPr>
          <w:rFonts w:cs="Times New Roman"/>
        </w:rPr>
      </w:pPr>
      <w:r w:rsidRPr="00B36CD4">
        <w:rPr>
          <w:rFonts w:cs="Times New Roman"/>
        </w:rPr>
        <w:t xml:space="preserve">Wyniki oceny formalnej i merytorycznej zamieszczane są </w:t>
      </w:r>
      <w:r w:rsidR="008245DB" w:rsidRPr="00B36CD4">
        <w:rPr>
          <w:rFonts w:cs="Times New Roman"/>
        </w:rPr>
        <w:t xml:space="preserve">na stronie internetowej PFRON (www.pfron.org.pl) w terminie </w:t>
      </w:r>
      <w:r w:rsidRPr="00B36CD4">
        <w:rPr>
          <w:rFonts w:cs="Times New Roman"/>
        </w:rPr>
        <w:t xml:space="preserve">5 </w:t>
      </w:r>
      <w:r w:rsidR="008245DB" w:rsidRPr="00B36CD4">
        <w:rPr>
          <w:rFonts w:cs="Times New Roman"/>
        </w:rPr>
        <w:t>dni roboczych od daty zakończenia oceny wniosków.</w:t>
      </w:r>
      <w:r w:rsidR="00351518" w:rsidRPr="00B36CD4">
        <w:rPr>
          <w:rFonts w:cs="Times New Roman"/>
        </w:rPr>
        <w:t xml:space="preserve"> Informację o przyczynach negatywnej oceny formalnej albo merytorycznej PFRON przekazuje poszczególnym Wnioskodawcom w formie pisemnej.</w:t>
      </w:r>
      <w:r w:rsidR="006512FE">
        <w:rPr>
          <w:rFonts w:cs="Times New Roman"/>
        </w:rPr>
        <w:t xml:space="preserve"> </w:t>
      </w:r>
      <w:r w:rsidR="006512FE" w:rsidRPr="00547507">
        <w:rPr>
          <w:rFonts w:cs="Times New Roman"/>
        </w:rPr>
        <w:t xml:space="preserve">Wnioskodawcom, których wnioski zostały ocenione pozytywnie przez </w:t>
      </w:r>
      <w:r w:rsidR="003E10AF" w:rsidRPr="00547507">
        <w:rPr>
          <w:rFonts w:cs="Times New Roman"/>
        </w:rPr>
        <w:t>komisj</w:t>
      </w:r>
      <w:r w:rsidR="00157E0E" w:rsidRPr="00547507">
        <w:rPr>
          <w:rFonts w:cs="Times New Roman"/>
        </w:rPr>
        <w:t>ę</w:t>
      </w:r>
      <w:r w:rsidR="003E10AF" w:rsidRPr="00547507">
        <w:rPr>
          <w:rFonts w:cs="Times New Roman"/>
        </w:rPr>
        <w:t xml:space="preserve"> konkursową </w:t>
      </w:r>
      <w:r w:rsidR="006512FE" w:rsidRPr="00547507">
        <w:rPr>
          <w:rFonts w:cs="Times New Roman"/>
        </w:rPr>
        <w:t xml:space="preserve">PFRON </w:t>
      </w:r>
      <w:r w:rsidR="003E10AF" w:rsidRPr="00547507">
        <w:rPr>
          <w:rFonts w:cs="Times New Roman"/>
        </w:rPr>
        <w:t xml:space="preserve">przekazuje, w </w:t>
      </w:r>
      <w:r w:rsidR="006512FE" w:rsidRPr="00547507">
        <w:rPr>
          <w:rFonts w:cs="Times New Roman"/>
        </w:rPr>
        <w:t>formie pisemnej</w:t>
      </w:r>
      <w:r w:rsidR="003E10AF" w:rsidRPr="00547507">
        <w:rPr>
          <w:rFonts w:cs="Times New Roman"/>
        </w:rPr>
        <w:t>, uwagi zgłoszone przez komisję konkursową podczas oceny merytorycznej wniosku</w:t>
      </w:r>
      <w:r w:rsidR="00837B79" w:rsidRPr="00547507">
        <w:rPr>
          <w:rFonts w:cs="Times New Roman"/>
        </w:rPr>
        <w:t xml:space="preserve"> – z uwzględnieniem postanowień rozdziału VII.3. ust. 3 oraz rozdziału VII.4. ust. 2 niniejszego dokumentu.</w:t>
      </w:r>
    </w:p>
    <w:p w14:paraId="282850AB" w14:textId="730359EC" w:rsidR="00753F7E" w:rsidRPr="00547507" w:rsidRDefault="00753F7E" w:rsidP="00C9092C">
      <w:pPr>
        <w:pStyle w:val="NormalnyWeb"/>
        <w:spacing w:before="360" w:beforeAutospacing="0" w:after="240" w:afterAutospacing="0"/>
        <w:ind w:left="851" w:hanging="851"/>
        <w:jc w:val="both"/>
        <w:rPr>
          <w:b/>
          <w:sz w:val="28"/>
          <w:szCs w:val="28"/>
        </w:rPr>
      </w:pPr>
      <w:r w:rsidRPr="00547507">
        <w:rPr>
          <w:b/>
          <w:sz w:val="28"/>
          <w:szCs w:val="28"/>
        </w:rPr>
        <w:t>VII.</w:t>
      </w:r>
      <w:r w:rsidR="00D17D48" w:rsidRPr="00547507">
        <w:rPr>
          <w:b/>
          <w:sz w:val="28"/>
          <w:szCs w:val="28"/>
        </w:rPr>
        <w:t>3</w:t>
      </w:r>
      <w:r w:rsidRPr="00547507">
        <w:rPr>
          <w:b/>
          <w:sz w:val="28"/>
          <w:szCs w:val="28"/>
        </w:rPr>
        <w:t>.</w:t>
      </w:r>
      <w:r w:rsidRPr="00547507">
        <w:rPr>
          <w:b/>
          <w:sz w:val="28"/>
          <w:szCs w:val="28"/>
        </w:rPr>
        <w:tab/>
      </w:r>
      <w:r w:rsidR="00D17D48" w:rsidRPr="00547507">
        <w:rPr>
          <w:b/>
          <w:sz w:val="28"/>
          <w:szCs w:val="28"/>
        </w:rPr>
        <w:t>Negocjacje</w:t>
      </w:r>
    </w:p>
    <w:p w14:paraId="11413E6D" w14:textId="006347BA" w:rsidR="00D17D48" w:rsidRPr="00547507" w:rsidRDefault="00D23830" w:rsidP="00555334">
      <w:pPr>
        <w:pStyle w:val="Akapitzlist"/>
        <w:numPr>
          <w:ilvl w:val="0"/>
          <w:numId w:val="4"/>
        </w:numPr>
        <w:tabs>
          <w:tab w:val="clear" w:pos="360"/>
        </w:tabs>
        <w:ind w:left="357" w:hanging="357"/>
        <w:jc w:val="both"/>
        <w:rPr>
          <w:rFonts w:cs="Times New Roman"/>
        </w:rPr>
      </w:pPr>
      <w:r w:rsidRPr="00547507">
        <w:rPr>
          <w:rFonts w:cs="Times New Roman"/>
        </w:rPr>
        <w:t>Jeżeli</w:t>
      </w:r>
      <w:r w:rsidR="00D17D48" w:rsidRPr="00547507">
        <w:rPr>
          <w:rFonts w:cs="Times New Roman"/>
        </w:rPr>
        <w:t xml:space="preserve"> </w:t>
      </w:r>
      <w:r w:rsidR="00EE4981" w:rsidRPr="00547507">
        <w:rPr>
          <w:rFonts w:cs="Times New Roman"/>
        </w:rPr>
        <w:t xml:space="preserve">pozytywną </w:t>
      </w:r>
      <w:r w:rsidRPr="00547507">
        <w:rPr>
          <w:rFonts w:cs="Times New Roman"/>
        </w:rPr>
        <w:t>ocen</w:t>
      </w:r>
      <w:r w:rsidR="00EE4981" w:rsidRPr="00547507">
        <w:rPr>
          <w:rFonts w:cs="Times New Roman"/>
        </w:rPr>
        <w:t>ę</w:t>
      </w:r>
      <w:r w:rsidRPr="00547507">
        <w:rPr>
          <w:rFonts w:cs="Times New Roman"/>
        </w:rPr>
        <w:t xml:space="preserve"> merytoryczn</w:t>
      </w:r>
      <w:r w:rsidR="00EE4981" w:rsidRPr="00547507">
        <w:rPr>
          <w:rFonts w:cs="Times New Roman"/>
        </w:rPr>
        <w:t>ą</w:t>
      </w:r>
      <w:r w:rsidR="004F1A9A" w:rsidRPr="00547507">
        <w:rPr>
          <w:rFonts w:cs="Times New Roman"/>
        </w:rPr>
        <w:t xml:space="preserve"> </w:t>
      </w:r>
      <w:r w:rsidRPr="00547507">
        <w:rPr>
          <w:rFonts w:cs="Times New Roman"/>
        </w:rPr>
        <w:t xml:space="preserve">uzyska </w:t>
      </w:r>
      <w:r w:rsidR="00D17D48" w:rsidRPr="00547507">
        <w:rPr>
          <w:rFonts w:cs="Times New Roman"/>
        </w:rPr>
        <w:t>więcej niż jeden wniosek dopuszcza się możliwość przeprowadzenia negocjacji</w:t>
      </w:r>
      <w:r w:rsidR="00EE4981" w:rsidRPr="00547507">
        <w:rPr>
          <w:rFonts w:cs="Times New Roman"/>
        </w:rPr>
        <w:t xml:space="preserve">, </w:t>
      </w:r>
      <w:r w:rsidR="00D17D48" w:rsidRPr="00547507">
        <w:rPr>
          <w:rFonts w:cs="Times New Roman"/>
        </w:rPr>
        <w:t>przed podjęciem decyzji finansowej przez Zarząd PFRON</w:t>
      </w:r>
      <w:r w:rsidR="00EE4981" w:rsidRPr="00547507">
        <w:rPr>
          <w:rFonts w:cs="Times New Roman"/>
        </w:rPr>
        <w:t>,</w:t>
      </w:r>
      <w:r w:rsidR="00D17D48" w:rsidRPr="00547507">
        <w:rPr>
          <w:rFonts w:cs="Times New Roman"/>
        </w:rPr>
        <w:t xml:space="preserve"> w celu ustalenia optymalnego sposobu realizacji działań aktywizacyjnych</w:t>
      </w:r>
      <w:r w:rsidR="00EE4981" w:rsidRPr="00547507">
        <w:rPr>
          <w:rFonts w:cs="Times New Roman"/>
        </w:rPr>
        <w:t>,</w:t>
      </w:r>
      <w:r w:rsidR="00D17D48" w:rsidRPr="00547507">
        <w:rPr>
          <w:rFonts w:cs="Times New Roman"/>
        </w:rPr>
        <w:t xml:space="preserve"> w</w:t>
      </w:r>
      <w:r w:rsidRPr="00547507">
        <w:rPr>
          <w:rFonts w:cs="Times New Roman"/>
        </w:rPr>
        <w:t> </w:t>
      </w:r>
      <w:r w:rsidR="00D17D48" w:rsidRPr="00547507">
        <w:rPr>
          <w:rFonts w:cs="Times New Roman"/>
        </w:rPr>
        <w:t>odniesieniu do listy organów administracji rządowej, które przyjmą na staż zawodowy beneficjentów ostatecznych, stanowiącej załącznik do ogłoszenia o konkursie.</w:t>
      </w:r>
    </w:p>
    <w:p w14:paraId="57A4B04F" w14:textId="4788A3FD" w:rsidR="00D23830" w:rsidRPr="00547507" w:rsidRDefault="00D17D48" w:rsidP="00555334">
      <w:pPr>
        <w:pStyle w:val="Akapitzlist"/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cs="Times New Roman"/>
        </w:rPr>
      </w:pPr>
      <w:r w:rsidRPr="00547507">
        <w:rPr>
          <w:rFonts w:cs="Times New Roman"/>
        </w:rPr>
        <w:t xml:space="preserve">Negocjacje prowadzone są przez Biuro PFRON z Wnioskodawcami, których wnioski zostały zaopiniowane </w:t>
      </w:r>
      <w:r w:rsidR="00D23830" w:rsidRPr="00547507">
        <w:rPr>
          <w:rFonts w:cs="Times New Roman"/>
        </w:rPr>
        <w:t xml:space="preserve">pozytywnie </w:t>
      </w:r>
      <w:r w:rsidRPr="00547507">
        <w:rPr>
          <w:rFonts w:cs="Times New Roman"/>
        </w:rPr>
        <w:t>przez komisj</w:t>
      </w:r>
      <w:r w:rsidR="00D23830" w:rsidRPr="00547507">
        <w:rPr>
          <w:rFonts w:cs="Times New Roman"/>
        </w:rPr>
        <w:t>ę</w:t>
      </w:r>
      <w:r w:rsidRPr="00547507">
        <w:rPr>
          <w:rFonts w:cs="Times New Roman"/>
        </w:rPr>
        <w:t xml:space="preserve"> konkursową</w:t>
      </w:r>
      <w:r w:rsidR="00EE4981" w:rsidRPr="00547507">
        <w:rPr>
          <w:rFonts w:cs="Times New Roman"/>
        </w:rPr>
        <w:t>.</w:t>
      </w:r>
      <w:r w:rsidRPr="00547507">
        <w:rPr>
          <w:rFonts w:cs="Times New Roman"/>
        </w:rPr>
        <w:t xml:space="preserve"> W imieniu Wnioskodawców negocjacje prowadzone są z osobami upoważnionymi do reprezentowania Wnioskodawcy i zaciągania zobowiązań finansowych.</w:t>
      </w:r>
    </w:p>
    <w:p w14:paraId="7D1A7D28" w14:textId="4283DF11" w:rsidR="006512FE" w:rsidRPr="00547507" w:rsidRDefault="006512FE" w:rsidP="00555334">
      <w:pPr>
        <w:pStyle w:val="Akapitzlist"/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cs="Times New Roman"/>
        </w:rPr>
      </w:pPr>
      <w:r w:rsidRPr="00547507">
        <w:rPr>
          <w:rFonts w:cs="Times New Roman"/>
        </w:rPr>
        <w:t xml:space="preserve">Na etapie negocjacji Wnioskodawca może odnieść się do uwag </w:t>
      </w:r>
      <w:r w:rsidR="00157E0E" w:rsidRPr="00547507">
        <w:rPr>
          <w:rFonts w:cs="Times New Roman"/>
        </w:rPr>
        <w:t xml:space="preserve">zgłoszonych przez </w:t>
      </w:r>
      <w:r w:rsidRPr="00547507">
        <w:rPr>
          <w:rFonts w:cs="Times New Roman"/>
        </w:rPr>
        <w:t>komisj</w:t>
      </w:r>
      <w:r w:rsidR="00157E0E" w:rsidRPr="00547507">
        <w:rPr>
          <w:rFonts w:cs="Times New Roman"/>
        </w:rPr>
        <w:t>ę</w:t>
      </w:r>
      <w:r w:rsidRPr="00547507">
        <w:rPr>
          <w:rFonts w:cs="Times New Roman"/>
        </w:rPr>
        <w:t xml:space="preserve"> konkursow</w:t>
      </w:r>
      <w:r w:rsidR="00157E0E" w:rsidRPr="00547507">
        <w:rPr>
          <w:rFonts w:cs="Times New Roman"/>
        </w:rPr>
        <w:t>ą</w:t>
      </w:r>
      <w:r w:rsidRPr="00547507">
        <w:rPr>
          <w:rFonts w:cs="Times New Roman"/>
        </w:rPr>
        <w:t>. W uzasadnionych przypadkach, stwierdzonych na podstawie przedstawionych przez Wnioskodawcę wyjaśnień, PFRON może wyrazić zgodę na nieuwzględnienie zgłoszonej przez komisję konkursową uwagi (uwag).</w:t>
      </w:r>
    </w:p>
    <w:p w14:paraId="3838CD58" w14:textId="48310B35" w:rsidR="00D23830" w:rsidRPr="00547507" w:rsidRDefault="00D17D48" w:rsidP="00555334">
      <w:pPr>
        <w:pStyle w:val="Akapitzlist"/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cs="Times New Roman"/>
        </w:rPr>
      </w:pPr>
      <w:r w:rsidRPr="00547507">
        <w:rPr>
          <w:rFonts w:cs="Times New Roman"/>
        </w:rPr>
        <w:t>Negocjacje mogą być prowadzone z</w:t>
      </w:r>
      <w:r w:rsidR="00D23830" w:rsidRPr="00547507">
        <w:rPr>
          <w:rFonts w:cs="Times New Roman"/>
        </w:rPr>
        <w:t xml:space="preserve"> </w:t>
      </w:r>
      <w:r w:rsidRPr="00547507">
        <w:rPr>
          <w:rFonts w:cs="Times New Roman"/>
        </w:rPr>
        <w:t xml:space="preserve">udziałem pracodawców ujętych na liście, o której mowa </w:t>
      </w:r>
      <w:r w:rsidR="00D23830" w:rsidRPr="00547507">
        <w:rPr>
          <w:rFonts w:cs="Times New Roman"/>
        </w:rPr>
        <w:t>w</w:t>
      </w:r>
      <w:r w:rsidR="004F1A9A" w:rsidRPr="00547507">
        <w:rPr>
          <w:rFonts w:cs="Times New Roman"/>
        </w:rPr>
        <w:t> </w:t>
      </w:r>
      <w:r w:rsidR="00D23830" w:rsidRPr="00547507">
        <w:rPr>
          <w:rFonts w:cs="Times New Roman"/>
        </w:rPr>
        <w:t>ust. 1. N</w:t>
      </w:r>
      <w:r w:rsidRPr="00547507">
        <w:rPr>
          <w:rFonts w:cs="Times New Roman"/>
        </w:rPr>
        <w:t>a tym etapie dopuszcza się możliwość zgłoszenia przez pracodawców ewentualnych korekt w zakresie danych ujętych na</w:t>
      </w:r>
      <w:r w:rsidR="004F1A9A" w:rsidRPr="00547507">
        <w:rPr>
          <w:rFonts w:cs="Times New Roman"/>
        </w:rPr>
        <w:t xml:space="preserve"> </w:t>
      </w:r>
      <w:r w:rsidRPr="00547507">
        <w:rPr>
          <w:rFonts w:cs="Times New Roman"/>
        </w:rPr>
        <w:t>liście.</w:t>
      </w:r>
    </w:p>
    <w:p w14:paraId="073504C8" w14:textId="0E9B55B6" w:rsidR="00D23830" w:rsidRPr="00547507" w:rsidRDefault="00D23830" w:rsidP="00555334">
      <w:pPr>
        <w:pStyle w:val="Akapitzlist"/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cs="Times New Roman"/>
        </w:rPr>
      </w:pPr>
      <w:r w:rsidRPr="00547507">
        <w:rPr>
          <w:rFonts w:cs="Times New Roman"/>
        </w:rPr>
        <w:lastRenderedPageBreak/>
        <w:t xml:space="preserve">W wyniku negocjacji </w:t>
      </w:r>
      <w:r w:rsidR="00EE4981" w:rsidRPr="00547507">
        <w:rPr>
          <w:rFonts w:cs="Times New Roman"/>
        </w:rPr>
        <w:t xml:space="preserve">strony mogą ustalić </w:t>
      </w:r>
      <w:r w:rsidRPr="00547507">
        <w:rPr>
          <w:rFonts w:cs="Times New Roman"/>
        </w:rPr>
        <w:t xml:space="preserve">konieczność </w:t>
      </w:r>
      <w:r w:rsidR="0034033D" w:rsidRPr="00547507">
        <w:rPr>
          <w:rFonts w:cs="Times New Roman"/>
        </w:rPr>
        <w:t xml:space="preserve">wprowadzenia zmian do </w:t>
      </w:r>
      <w:r w:rsidR="00EE4981" w:rsidRPr="00547507">
        <w:rPr>
          <w:rFonts w:cs="Times New Roman"/>
        </w:rPr>
        <w:t xml:space="preserve">poszczególnych projektów, w tym do budżetów projektów </w:t>
      </w:r>
      <w:r w:rsidR="0034033D" w:rsidRPr="00547507">
        <w:rPr>
          <w:rFonts w:cs="Times New Roman"/>
        </w:rPr>
        <w:t>(</w:t>
      </w:r>
      <w:r w:rsidR="005F442D" w:rsidRPr="00547507">
        <w:rPr>
          <w:rFonts w:cs="Times New Roman"/>
        </w:rPr>
        <w:t>np. </w:t>
      </w:r>
      <w:r w:rsidR="00EE4981" w:rsidRPr="00547507">
        <w:rPr>
          <w:rFonts w:cs="Times New Roman"/>
        </w:rPr>
        <w:t xml:space="preserve">zmniejszenia lub podwyższenia liczby beneficjentów ostatecznych projektu, </w:t>
      </w:r>
      <w:r w:rsidR="004F1A9A" w:rsidRPr="00547507">
        <w:rPr>
          <w:rFonts w:cs="Times New Roman"/>
        </w:rPr>
        <w:t>zmniejszenia</w:t>
      </w:r>
      <w:r w:rsidR="005F442D" w:rsidRPr="00547507">
        <w:rPr>
          <w:rFonts w:cs="Times New Roman"/>
        </w:rPr>
        <w:t xml:space="preserve"> </w:t>
      </w:r>
      <w:r w:rsidR="004D4098" w:rsidRPr="00547507">
        <w:rPr>
          <w:rFonts w:cs="Times New Roman"/>
        </w:rPr>
        <w:t xml:space="preserve">lub podwyższenia </w:t>
      </w:r>
      <w:r w:rsidR="005F442D" w:rsidRPr="00547507">
        <w:rPr>
          <w:rFonts w:cs="Times New Roman"/>
        </w:rPr>
        <w:t>łącznej wysokości</w:t>
      </w:r>
      <w:r w:rsidR="004D4098" w:rsidRPr="00547507">
        <w:rPr>
          <w:rFonts w:cs="Times New Roman"/>
        </w:rPr>
        <w:t xml:space="preserve"> kosztów kwalifikowalnych projektu, </w:t>
      </w:r>
      <w:r w:rsidR="004F1A9A" w:rsidRPr="00547507">
        <w:rPr>
          <w:rFonts w:cs="Times New Roman"/>
        </w:rPr>
        <w:t>zmniejszenia</w:t>
      </w:r>
      <w:r w:rsidR="004D4098" w:rsidRPr="00547507">
        <w:rPr>
          <w:rFonts w:cs="Times New Roman"/>
        </w:rPr>
        <w:t xml:space="preserve"> lub podwyższenia łącznej wysokości wnioskowanej kwoty dofinansowania, </w:t>
      </w:r>
      <w:r w:rsidR="004F1A9A" w:rsidRPr="00547507">
        <w:rPr>
          <w:rFonts w:cs="Times New Roman"/>
        </w:rPr>
        <w:t>zmniejszenia</w:t>
      </w:r>
      <w:r w:rsidR="004D4098" w:rsidRPr="00547507">
        <w:rPr>
          <w:rFonts w:cs="Times New Roman"/>
        </w:rPr>
        <w:t xml:space="preserve"> lub podwyższenia </w:t>
      </w:r>
      <w:r w:rsidR="004F1A9A" w:rsidRPr="00547507">
        <w:rPr>
          <w:rFonts w:cs="Times New Roman"/>
        </w:rPr>
        <w:t>kosztów w</w:t>
      </w:r>
      <w:r w:rsidR="00EE4981" w:rsidRPr="00547507">
        <w:rPr>
          <w:rFonts w:cs="Times New Roman"/>
        </w:rPr>
        <w:t> </w:t>
      </w:r>
      <w:r w:rsidR="004F1A9A" w:rsidRPr="00547507">
        <w:rPr>
          <w:rFonts w:cs="Times New Roman"/>
        </w:rPr>
        <w:t>poszczególnych kategoriach budżetowych, wprowadzenia nowej kategorii lub pozycji kosztów).</w:t>
      </w:r>
    </w:p>
    <w:p w14:paraId="7833E647" w14:textId="3C6976C9" w:rsidR="00AB56D2" w:rsidRPr="00547507" w:rsidRDefault="00AB56D2" w:rsidP="00555334">
      <w:pPr>
        <w:pStyle w:val="Akapitzlist"/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cs="Times New Roman"/>
        </w:rPr>
      </w:pPr>
      <w:r w:rsidRPr="00547507">
        <w:rPr>
          <w:rFonts w:cs="Times New Roman"/>
        </w:rPr>
        <w:t>W sytuacji, o której mowa w ust. </w:t>
      </w:r>
      <w:r w:rsidR="003E10AF" w:rsidRPr="00547507">
        <w:rPr>
          <w:rFonts w:cs="Times New Roman"/>
        </w:rPr>
        <w:t>5</w:t>
      </w:r>
      <w:r w:rsidRPr="00547507">
        <w:rPr>
          <w:rFonts w:cs="Times New Roman"/>
        </w:rPr>
        <w:t>, strony ustalą termin przedłożenia do PFRON</w:t>
      </w:r>
      <w:r w:rsidR="00F25C4A" w:rsidRPr="00547507">
        <w:rPr>
          <w:rFonts w:cs="Times New Roman"/>
        </w:rPr>
        <w:t xml:space="preserve"> wniosków</w:t>
      </w:r>
      <w:r w:rsidRPr="00547507">
        <w:rPr>
          <w:rFonts w:cs="Times New Roman"/>
        </w:rPr>
        <w:t xml:space="preserve"> </w:t>
      </w:r>
      <w:r w:rsidR="00F25C4A" w:rsidRPr="00547507">
        <w:rPr>
          <w:rFonts w:cs="Times New Roman"/>
        </w:rPr>
        <w:t xml:space="preserve">skorygowanych </w:t>
      </w:r>
      <w:r w:rsidRPr="00547507">
        <w:rPr>
          <w:rFonts w:cs="Times New Roman"/>
        </w:rPr>
        <w:t>przez poszczególnych Wnioskodawców zgodnie z wynikami negocjacji oraz uwzględniających uwagi komisji konkursowej (z zastrzeżeniem postanowień ust. </w:t>
      </w:r>
      <w:r w:rsidR="003E10AF" w:rsidRPr="00547507">
        <w:rPr>
          <w:rFonts w:cs="Times New Roman"/>
        </w:rPr>
        <w:t>3</w:t>
      </w:r>
      <w:r w:rsidRPr="00547507">
        <w:rPr>
          <w:rFonts w:cs="Times New Roman"/>
        </w:rPr>
        <w:t>).</w:t>
      </w:r>
    </w:p>
    <w:p w14:paraId="37C35506" w14:textId="5E6A9FE8" w:rsidR="00D17D48" w:rsidRPr="00547507" w:rsidRDefault="00D17D48" w:rsidP="00555334">
      <w:pPr>
        <w:pStyle w:val="Akapitzlist"/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cs="Times New Roman"/>
        </w:rPr>
      </w:pPr>
      <w:r w:rsidRPr="00547507">
        <w:rPr>
          <w:rFonts w:cs="Times New Roman"/>
        </w:rPr>
        <w:t>Z</w:t>
      </w:r>
      <w:r w:rsidR="00D23830" w:rsidRPr="00547507">
        <w:rPr>
          <w:rFonts w:cs="Times New Roman"/>
        </w:rPr>
        <w:t xml:space="preserve"> </w:t>
      </w:r>
      <w:r w:rsidRPr="00547507">
        <w:rPr>
          <w:rFonts w:cs="Times New Roman"/>
        </w:rPr>
        <w:t>przeprowadzonych negocjacji sporządzany jest protokół zawierający stanowiska stron.</w:t>
      </w:r>
    </w:p>
    <w:p w14:paraId="222E1E5D" w14:textId="4A8F1CF7" w:rsidR="00C9092C" w:rsidRPr="002E5660" w:rsidRDefault="00B93D4C" w:rsidP="00C9092C">
      <w:pPr>
        <w:pStyle w:val="NormalnyWeb"/>
        <w:spacing w:before="360" w:beforeAutospacing="0" w:after="240" w:afterAutospacing="0"/>
        <w:ind w:left="851" w:hanging="851"/>
        <w:jc w:val="both"/>
        <w:rPr>
          <w:b/>
          <w:sz w:val="28"/>
          <w:szCs w:val="28"/>
        </w:rPr>
      </w:pPr>
      <w:r w:rsidRPr="002E5660">
        <w:rPr>
          <w:b/>
          <w:sz w:val="28"/>
          <w:szCs w:val="28"/>
        </w:rPr>
        <w:t>VII</w:t>
      </w:r>
      <w:r w:rsidR="00470A3D" w:rsidRPr="002E5660">
        <w:rPr>
          <w:b/>
          <w:sz w:val="28"/>
          <w:szCs w:val="28"/>
        </w:rPr>
        <w:t>.</w:t>
      </w:r>
      <w:r w:rsidR="00D17D48">
        <w:rPr>
          <w:b/>
          <w:sz w:val="28"/>
          <w:szCs w:val="28"/>
        </w:rPr>
        <w:t>4</w:t>
      </w:r>
      <w:r w:rsidRPr="002E5660">
        <w:rPr>
          <w:b/>
          <w:sz w:val="28"/>
          <w:szCs w:val="28"/>
        </w:rPr>
        <w:t>.</w:t>
      </w:r>
      <w:r w:rsidRPr="002E5660">
        <w:rPr>
          <w:b/>
          <w:sz w:val="28"/>
          <w:szCs w:val="28"/>
        </w:rPr>
        <w:tab/>
        <w:t>Decyzje finansowe PFRON w ramach modułu II „Staże zawodowe”</w:t>
      </w:r>
    </w:p>
    <w:p w14:paraId="5E4FA848" w14:textId="3B311D8A" w:rsidR="00164A7A" w:rsidRPr="00547507" w:rsidRDefault="00164A7A" w:rsidP="00555334">
      <w:pPr>
        <w:pStyle w:val="Akapitzlist"/>
        <w:numPr>
          <w:ilvl w:val="0"/>
          <w:numId w:val="57"/>
        </w:numPr>
        <w:jc w:val="both"/>
        <w:rPr>
          <w:rFonts w:cs="Times New Roman"/>
        </w:rPr>
      </w:pPr>
      <w:bookmarkStart w:id="11" w:name="_Hlk8922380"/>
      <w:r w:rsidRPr="00547507">
        <w:rPr>
          <w:rFonts w:cs="Times New Roman"/>
        </w:rPr>
        <w:t>Decyzję w sprawie przyznania dofinansowania i jego wysokości podejmuje Zarząd PFRON na podstawie ocen komisji konkursowej</w:t>
      </w:r>
      <w:r w:rsidR="00EE4981" w:rsidRPr="00547507">
        <w:rPr>
          <w:rFonts w:cs="Times New Roman"/>
        </w:rPr>
        <w:t xml:space="preserve"> oraz z uwzględnieniem wyników negocjacji, o których mowa w rozdziale </w:t>
      </w:r>
      <w:r w:rsidR="00BB3C2A" w:rsidRPr="00547507">
        <w:rPr>
          <w:rFonts w:cs="Times New Roman"/>
        </w:rPr>
        <w:t>VII.3 niniejszego dokumentu</w:t>
      </w:r>
      <w:r w:rsidRPr="00547507">
        <w:rPr>
          <w:rFonts w:cs="Times New Roman"/>
        </w:rPr>
        <w:t>. W przypadku wniosku wspólnego decyzję o podziale</w:t>
      </w:r>
      <w:r w:rsidR="000166E5" w:rsidRPr="00547507">
        <w:rPr>
          <w:rFonts w:cs="Times New Roman"/>
        </w:rPr>
        <w:t>,</w:t>
      </w:r>
      <w:r w:rsidRPr="00547507">
        <w:rPr>
          <w:rFonts w:cs="Times New Roman"/>
        </w:rPr>
        <w:t xml:space="preserve"> na poszczególnych Wnioskodawców</w:t>
      </w:r>
      <w:r w:rsidR="000166E5" w:rsidRPr="00547507">
        <w:rPr>
          <w:rFonts w:cs="Times New Roman"/>
        </w:rPr>
        <w:t>,</w:t>
      </w:r>
      <w:r w:rsidRPr="00547507">
        <w:rPr>
          <w:rFonts w:cs="Times New Roman"/>
        </w:rPr>
        <w:t xml:space="preserve"> przyznanej przez Zarząd PFRON kwoty dofinansowania podejmują Pełnomocnicy Zarządu PFRON.</w:t>
      </w:r>
    </w:p>
    <w:bookmarkEnd w:id="11"/>
    <w:p w14:paraId="70DB876D" w14:textId="0DB34B1C" w:rsidR="00157E0E" w:rsidRPr="00547507" w:rsidRDefault="00157E0E" w:rsidP="00555334">
      <w:pPr>
        <w:pStyle w:val="Akapitzlist"/>
        <w:numPr>
          <w:ilvl w:val="0"/>
          <w:numId w:val="57"/>
        </w:numPr>
        <w:spacing w:before="120"/>
        <w:jc w:val="both"/>
        <w:rPr>
          <w:rFonts w:cs="Times New Roman"/>
        </w:rPr>
      </w:pPr>
      <w:r w:rsidRPr="00547507">
        <w:rPr>
          <w:rFonts w:cs="Times New Roman"/>
        </w:rPr>
        <w:t>O ile nie zostały przeprowadzone negocjacje, o których mowa w rozdziale VII.3 niniejszego dokumentu</w:t>
      </w:r>
      <w:r w:rsidR="00D83E67" w:rsidRPr="00547507">
        <w:rPr>
          <w:rFonts w:cs="Times New Roman"/>
        </w:rPr>
        <w:t>,</w:t>
      </w:r>
      <w:r w:rsidR="00837B79" w:rsidRPr="00547507">
        <w:rPr>
          <w:rFonts w:cs="Times New Roman"/>
        </w:rPr>
        <w:t xml:space="preserve"> </w:t>
      </w:r>
      <w:r w:rsidR="00D83E67" w:rsidRPr="00547507">
        <w:rPr>
          <w:rFonts w:cs="Times New Roman"/>
        </w:rPr>
        <w:t xml:space="preserve">Wnioskodawca, </w:t>
      </w:r>
      <w:r w:rsidRPr="00547507">
        <w:rPr>
          <w:rFonts w:cs="Times New Roman"/>
        </w:rPr>
        <w:t>przed podjęciem decyzji, o której mowa w ust. 1, może odnieść się do uwag zgłoszonych przez komisję konkursową</w:t>
      </w:r>
      <w:r w:rsidR="00837B79" w:rsidRPr="00547507">
        <w:rPr>
          <w:rFonts w:cs="Times New Roman"/>
        </w:rPr>
        <w:t xml:space="preserve">. W </w:t>
      </w:r>
      <w:r w:rsidRPr="00547507">
        <w:rPr>
          <w:rFonts w:cs="Times New Roman"/>
        </w:rPr>
        <w:t>uzasadnionych przypadkach, stwierdzonych na</w:t>
      </w:r>
      <w:r w:rsidR="00837B79" w:rsidRPr="00547507">
        <w:rPr>
          <w:rFonts w:cs="Times New Roman"/>
        </w:rPr>
        <w:t xml:space="preserve"> </w:t>
      </w:r>
      <w:r w:rsidRPr="00547507">
        <w:rPr>
          <w:rFonts w:cs="Times New Roman"/>
        </w:rPr>
        <w:t>podstawie przedstawionych przez Wnioskodawcę wyjaśnień, PFRON może wyrazić zgodę na nieuwzględnienie zgłoszonej przez komisję konkursową uwagi (uwag)</w:t>
      </w:r>
      <w:r w:rsidR="00837B79" w:rsidRPr="00547507">
        <w:rPr>
          <w:rFonts w:cs="Times New Roman"/>
        </w:rPr>
        <w:t>.</w:t>
      </w:r>
    </w:p>
    <w:p w14:paraId="30F7AB79" w14:textId="5A89E46A" w:rsidR="00164A7A" w:rsidRPr="002E5660" w:rsidRDefault="00164A7A" w:rsidP="00555334">
      <w:pPr>
        <w:pStyle w:val="Akapitzlist"/>
        <w:numPr>
          <w:ilvl w:val="0"/>
          <w:numId w:val="57"/>
        </w:numPr>
        <w:spacing w:before="120"/>
        <w:jc w:val="both"/>
        <w:rPr>
          <w:rFonts w:cs="Times New Roman"/>
        </w:rPr>
      </w:pPr>
      <w:r w:rsidRPr="002E5660">
        <w:rPr>
          <w:rFonts w:cs="Times New Roman"/>
        </w:rPr>
        <w:t>Wyniki konkursu ogłasza się niezwłocznie po podjęciu decyzji w Biuletynie Informacji Publicznej, w siedzibie PFRON w miejscu przeznaczonym na zamieszczanie ogłoszeń oraz na</w:t>
      </w:r>
      <w:r w:rsidR="00470A3D" w:rsidRPr="002E5660">
        <w:rPr>
          <w:rFonts w:cs="Times New Roman"/>
        </w:rPr>
        <w:t> </w:t>
      </w:r>
      <w:r w:rsidRPr="002E5660">
        <w:rPr>
          <w:rFonts w:cs="Times New Roman"/>
        </w:rPr>
        <w:t>stronie internetowej PFRON.</w:t>
      </w:r>
    </w:p>
    <w:p w14:paraId="6C99F5DA" w14:textId="6C0BF6F4" w:rsidR="003961EC" w:rsidRDefault="003961EC" w:rsidP="00555334">
      <w:pPr>
        <w:pStyle w:val="Akapitzlist"/>
        <w:numPr>
          <w:ilvl w:val="0"/>
          <w:numId w:val="57"/>
        </w:numPr>
        <w:spacing w:before="120"/>
        <w:jc w:val="both"/>
        <w:rPr>
          <w:rFonts w:cs="Times New Roman"/>
        </w:rPr>
      </w:pPr>
      <w:r w:rsidRPr="002E5660">
        <w:rPr>
          <w:rFonts w:cs="Times New Roman"/>
        </w:rPr>
        <w:t>Wnioskodawca zobowiązany jest zgłosić bezzwłocznie do PFRON wszelkie informacje o zdarzeniach mogących mieć wpływ na wysokość przyznanego dofinansowania.</w:t>
      </w:r>
    </w:p>
    <w:p w14:paraId="69799E29" w14:textId="1AF8C75E" w:rsidR="00717CC2" w:rsidRPr="00023A0F" w:rsidRDefault="00717CC2" w:rsidP="00E409E1">
      <w:pPr>
        <w:pStyle w:val="NormalnyWeb"/>
        <w:spacing w:before="480" w:beforeAutospacing="0" w:after="240" w:afterAutospacing="0"/>
        <w:ind w:left="907" w:hanging="90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VIII.</w:t>
      </w:r>
      <w:r w:rsidRPr="00183E81">
        <w:rPr>
          <w:b/>
          <w:sz w:val="32"/>
          <w:szCs w:val="32"/>
        </w:rPr>
        <w:tab/>
      </w:r>
      <w:r w:rsidR="000C47A6" w:rsidRPr="00B36CD4">
        <w:rPr>
          <w:b/>
          <w:sz w:val="32"/>
          <w:szCs w:val="32"/>
        </w:rPr>
        <w:t>Warunki zawierania umów</w:t>
      </w:r>
      <w:r w:rsidR="00761AB4" w:rsidRPr="00B36CD4">
        <w:rPr>
          <w:b/>
          <w:sz w:val="32"/>
          <w:szCs w:val="32"/>
        </w:rPr>
        <w:t>, z</w:t>
      </w:r>
      <w:r w:rsidRPr="00023A0F">
        <w:rPr>
          <w:b/>
          <w:sz w:val="32"/>
          <w:szCs w:val="32"/>
        </w:rPr>
        <w:t>asady przekazywania i</w:t>
      </w:r>
      <w:r w:rsidR="00BB3C2A">
        <w:rPr>
          <w:b/>
          <w:sz w:val="32"/>
          <w:szCs w:val="32"/>
        </w:rPr>
        <w:t xml:space="preserve"> </w:t>
      </w:r>
      <w:r w:rsidRPr="00023A0F">
        <w:rPr>
          <w:b/>
          <w:sz w:val="32"/>
          <w:szCs w:val="32"/>
        </w:rPr>
        <w:t>rozliczania środków PFRON</w:t>
      </w:r>
      <w:r w:rsidRPr="00B36CD4">
        <w:rPr>
          <w:b/>
          <w:sz w:val="32"/>
          <w:szCs w:val="32"/>
        </w:rPr>
        <w:t xml:space="preserve"> </w:t>
      </w:r>
      <w:r w:rsidRPr="00697662">
        <w:rPr>
          <w:b/>
          <w:sz w:val="32"/>
          <w:szCs w:val="32"/>
        </w:rPr>
        <w:t>w</w:t>
      </w:r>
      <w:r>
        <w:rPr>
          <w:b/>
          <w:sz w:val="32"/>
          <w:szCs w:val="32"/>
        </w:rPr>
        <w:t> </w:t>
      </w:r>
      <w:r w:rsidRPr="00697662">
        <w:rPr>
          <w:b/>
          <w:sz w:val="32"/>
          <w:szCs w:val="32"/>
        </w:rPr>
        <w:t>ramach modułu I</w:t>
      </w:r>
      <w:r>
        <w:rPr>
          <w:b/>
          <w:sz w:val="32"/>
          <w:szCs w:val="32"/>
        </w:rPr>
        <w:t>I</w:t>
      </w:r>
      <w:r w:rsidRPr="00697662">
        <w:rPr>
          <w:b/>
          <w:sz w:val="32"/>
          <w:szCs w:val="32"/>
        </w:rPr>
        <w:t xml:space="preserve"> „</w:t>
      </w:r>
      <w:r>
        <w:rPr>
          <w:b/>
          <w:sz w:val="32"/>
          <w:szCs w:val="32"/>
        </w:rPr>
        <w:t>Staże zawodowe</w:t>
      </w:r>
      <w:r w:rsidRPr="00697662">
        <w:rPr>
          <w:b/>
          <w:sz w:val="32"/>
          <w:szCs w:val="32"/>
        </w:rPr>
        <w:t>”</w:t>
      </w:r>
    </w:p>
    <w:p w14:paraId="79B56F5F" w14:textId="77777777" w:rsidR="00717CC2" w:rsidRDefault="00717CC2" w:rsidP="00555334">
      <w:pPr>
        <w:numPr>
          <w:ilvl w:val="0"/>
          <w:numId w:val="6"/>
        </w:numPr>
        <w:jc w:val="both"/>
        <w:rPr>
          <w:rFonts w:cs="Times New Roman"/>
        </w:rPr>
      </w:pPr>
      <w:r w:rsidRPr="00866387">
        <w:rPr>
          <w:rFonts w:cs="Times New Roman"/>
        </w:rPr>
        <w:t>Wysokość przyznanego dofinansowania, sposób przekazania środków finansowych oraz termin i sposób ich rozliczenia określa umowa o dofinansowanie działań aktywizacyjnych w ramach modułu II „Staże zawodowe”, zawart</w:t>
      </w:r>
      <w:r>
        <w:rPr>
          <w:rFonts w:cs="Times New Roman"/>
        </w:rPr>
        <w:t>a pomiędzy PFRON a Wnioskodawcą</w:t>
      </w:r>
      <w:r w:rsidRPr="006E587F">
        <w:rPr>
          <w:rFonts w:cs="Times New Roman"/>
        </w:rPr>
        <w:t>.</w:t>
      </w:r>
    </w:p>
    <w:p w14:paraId="407E7F9B" w14:textId="77777777" w:rsidR="00717CC2" w:rsidRDefault="00717CC2" w:rsidP="00555334">
      <w:pPr>
        <w:pStyle w:val="Akapitzlist"/>
        <w:numPr>
          <w:ilvl w:val="0"/>
          <w:numId w:val="6"/>
        </w:numPr>
        <w:spacing w:before="80"/>
        <w:jc w:val="both"/>
        <w:rPr>
          <w:rFonts w:cs="Times New Roman"/>
        </w:rPr>
      </w:pPr>
      <w:r w:rsidRPr="00D95EA1">
        <w:rPr>
          <w:rFonts w:cs="Times New Roman"/>
        </w:rPr>
        <w:t xml:space="preserve">Wzór umowy </w:t>
      </w:r>
      <w:r w:rsidRPr="00866387">
        <w:rPr>
          <w:rFonts w:cs="Times New Roman"/>
        </w:rPr>
        <w:t>o dofinansowanie działań aktywizacyjnych w ramach modułu II „Staże zawodowe”</w:t>
      </w:r>
      <w:r>
        <w:rPr>
          <w:rFonts w:cs="Times New Roman"/>
        </w:rPr>
        <w:t xml:space="preserve"> oraz w</w:t>
      </w:r>
      <w:r w:rsidRPr="00D95EA1">
        <w:rPr>
          <w:rFonts w:cs="Times New Roman"/>
        </w:rPr>
        <w:t xml:space="preserve">zór umowy </w:t>
      </w:r>
      <w:r w:rsidRPr="00866387">
        <w:rPr>
          <w:rFonts w:cs="Times New Roman"/>
        </w:rPr>
        <w:t>o dofinansowanie działań aktywizacyjnych w ramach modułu II „Staże zawodowe”</w:t>
      </w:r>
      <w:r>
        <w:rPr>
          <w:rFonts w:cs="Times New Roman"/>
        </w:rPr>
        <w:t xml:space="preserve"> </w:t>
      </w:r>
      <w:r w:rsidRPr="00D95EA1">
        <w:rPr>
          <w:rFonts w:cs="Times New Roman"/>
        </w:rPr>
        <w:t>w przypadku wniosku wspólnego stanowi</w:t>
      </w:r>
      <w:r>
        <w:rPr>
          <w:rFonts w:cs="Times New Roman"/>
        </w:rPr>
        <w:t>ą</w:t>
      </w:r>
      <w:r w:rsidRPr="00D95EA1">
        <w:rPr>
          <w:rFonts w:cs="Times New Roman"/>
        </w:rPr>
        <w:t xml:space="preserve"> załącznik</w:t>
      </w:r>
      <w:r>
        <w:rPr>
          <w:rFonts w:cs="Times New Roman"/>
        </w:rPr>
        <w:t>i do procedur</w:t>
      </w:r>
      <w:r w:rsidRPr="00D95EA1">
        <w:rPr>
          <w:rFonts w:cs="Times New Roman"/>
        </w:rPr>
        <w:t>.</w:t>
      </w:r>
    </w:p>
    <w:p w14:paraId="4FF22CF5" w14:textId="77777777" w:rsidR="00717CC2" w:rsidRPr="00A0166F" w:rsidRDefault="00717CC2" w:rsidP="00555334">
      <w:pPr>
        <w:numPr>
          <w:ilvl w:val="0"/>
          <w:numId w:val="6"/>
        </w:numPr>
        <w:spacing w:before="80"/>
        <w:jc w:val="both"/>
        <w:rPr>
          <w:rFonts w:cs="Times New Roman"/>
        </w:rPr>
      </w:pPr>
      <w:r w:rsidRPr="00A0166F">
        <w:rPr>
          <w:rFonts w:cs="Times New Roman"/>
        </w:rPr>
        <w:t>Wnioskodawcy, którzy złożyli do PFRON wniosek wspólny ponoszą odpowiedzialność solidarną za zobowiązania wynikające z umowy.</w:t>
      </w:r>
    </w:p>
    <w:p w14:paraId="4F3EC62F" w14:textId="32552686" w:rsidR="00F25C4A" w:rsidRPr="00547507" w:rsidRDefault="00F25C4A" w:rsidP="00555334">
      <w:pPr>
        <w:pStyle w:val="Akapitzlist"/>
        <w:numPr>
          <w:ilvl w:val="0"/>
          <w:numId w:val="6"/>
        </w:numPr>
        <w:spacing w:before="120"/>
        <w:jc w:val="both"/>
        <w:rPr>
          <w:rFonts w:cs="Times New Roman"/>
        </w:rPr>
      </w:pPr>
      <w:bookmarkStart w:id="12" w:name="_Hlk11323917"/>
      <w:r w:rsidRPr="00547507">
        <w:rPr>
          <w:rFonts w:cs="Times New Roman"/>
        </w:rPr>
        <w:t>O ile nie zostały przeprowadzone negocjacje, o których mowa w rozdziale VII.3 niniejszego dokumentu</w:t>
      </w:r>
      <w:r w:rsidR="00837B79" w:rsidRPr="00547507">
        <w:rPr>
          <w:rFonts w:cs="Times New Roman"/>
        </w:rPr>
        <w:t xml:space="preserve"> </w:t>
      </w:r>
      <w:r w:rsidRPr="00547507">
        <w:rPr>
          <w:rFonts w:cs="Times New Roman"/>
        </w:rPr>
        <w:t xml:space="preserve">przed </w:t>
      </w:r>
      <w:bookmarkStart w:id="13" w:name="_Hlk11323684"/>
      <w:r w:rsidRPr="00547507">
        <w:rPr>
          <w:rFonts w:cs="Times New Roman"/>
        </w:rPr>
        <w:t xml:space="preserve">zawarciem umowy o dofinansowanie działań aktywizacyjnych </w:t>
      </w:r>
      <w:bookmarkEnd w:id="13"/>
      <w:r w:rsidRPr="00547507">
        <w:rPr>
          <w:rFonts w:cs="Times New Roman"/>
        </w:rPr>
        <w:t>PFRON wyznacza Wnioskodawcy (Wnioskodawcy-Liderowi) termin na przedłożenie wniosku skorygowanego zgodnie z uwagami komisji konkursowe</w:t>
      </w:r>
      <w:r w:rsidR="00925FE1" w:rsidRPr="00547507">
        <w:rPr>
          <w:rFonts w:cs="Times New Roman"/>
        </w:rPr>
        <w:t>j (z zastrzeżeniem postanowień rozdziału VII.4. ust. 2 niniejszego dokumentu).</w:t>
      </w:r>
    </w:p>
    <w:bookmarkEnd w:id="12"/>
    <w:p w14:paraId="5B913489" w14:textId="77777777" w:rsidR="00717CC2" w:rsidRDefault="00717CC2" w:rsidP="00555334">
      <w:pPr>
        <w:numPr>
          <w:ilvl w:val="0"/>
          <w:numId w:val="6"/>
        </w:numPr>
        <w:spacing w:before="120"/>
        <w:jc w:val="both"/>
        <w:rPr>
          <w:rFonts w:cs="Times New Roman"/>
        </w:rPr>
      </w:pPr>
      <w:r w:rsidRPr="00A0166F">
        <w:rPr>
          <w:rFonts w:cs="Times New Roman"/>
        </w:rPr>
        <w:lastRenderedPageBreak/>
        <w:t>Wnioskodawca (Wnioskodawca-Lider) zobowiązany jest zgłosić bezzwłocznie do PFRON wszelkie informacje o zdarzeniach mogących mieć wpływ na wysokość przyznanego dofinansowania, a także poinformować PFRON o wszelkich zmianach dotyczących realizacji projektu (np. w zakresie terminów realizacji poszczególnych działań) dokonanych przed dniem podpisania umowy.</w:t>
      </w:r>
    </w:p>
    <w:p w14:paraId="6C995FE8" w14:textId="77777777" w:rsidR="00717CC2" w:rsidRDefault="00717CC2" w:rsidP="00555334">
      <w:pPr>
        <w:numPr>
          <w:ilvl w:val="0"/>
          <w:numId w:val="6"/>
        </w:numPr>
        <w:spacing w:before="120"/>
        <w:jc w:val="both"/>
        <w:rPr>
          <w:rFonts w:cs="Times New Roman"/>
        </w:rPr>
      </w:pPr>
      <w:r w:rsidRPr="00A0166F">
        <w:rPr>
          <w:rFonts w:cs="Times New Roman"/>
        </w:rPr>
        <w:t>Szczegółowe zasady przekazania dofinansowania (w tym liczba transz dofinansowania, maksymalna procentowa wysokość poszczególnych transz dofinansowania) określane są każdorazowo w ogłoszeniu o konkursie.</w:t>
      </w:r>
    </w:p>
    <w:p w14:paraId="530135F3" w14:textId="77777777" w:rsidR="00717CC2" w:rsidRDefault="00717CC2" w:rsidP="00555334">
      <w:pPr>
        <w:numPr>
          <w:ilvl w:val="0"/>
          <w:numId w:val="6"/>
        </w:numPr>
        <w:spacing w:before="120"/>
        <w:jc w:val="both"/>
        <w:rPr>
          <w:rFonts w:cs="Times New Roman"/>
        </w:rPr>
      </w:pPr>
      <w:r w:rsidRPr="00E55A7E">
        <w:rPr>
          <w:rFonts w:cs="Times New Roman"/>
        </w:rPr>
        <w:t>Rozliczenie finansowe projektu dokonywane jest z uwzględnieniem faktycznej (tj. osiągniętej podczas realizacji projektu) wartości wskaźnika rezultatu w odniesieniu do wartości tego wskaźnika, która została zaplanowana we wniosku. Wysokość dofinansowania możliwa do uznania w rozliczeniu ustalana jest z uwzględnieniem liczby beneficjentów ostatecznych, którzy odbędą co najmniej 3 miesięczny staż zawodowy.</w:t>
      </w:r>
    </w:p>
    <w:p w14:paraId="707F900E" w14:textId="77777777" w:rsidR="00717CC2" w:rsidRDefault="00717CC2" w:rsidP="004F2DAA">
      <w:pPr>
        <w:numPr>
          <w:ilvl w:val="0"/>
          <w:numId w:val="6"/>
        </w:numPr>
        <w:spacing w:before="120"/>
        <w:jc w:val="both"/>
        <w:rPr>
          <w:rFonts w:cs="Times New Roman"/>
        </w:rPr>
      </w:pPr>
      <w:r w:rsidRPr="00002A92">
        <w:rPr>
          <w:rFonts w:cs="Times New Roman"/>
        </w:rPr>
        <w:t xml:space="preserve">W trakcie realizacji projektu mogą być zgłaszane przez </w:t>
      </w:r>
      <w:r>
        <w:rPr>
          <w:rFonts w:cs="Times New Roman"/>
        </w:rPr>
        <w:t>Wnioskodawcę</w:t>
      </w:r>
      <w:r w:rsidRPr="00002A92">
        <w:rPr>
          <w:rFonts w:cs="Times New Roman"/>
        </w:rPr>
        <w:t xml:space="preserve"> do PFRON propozycje wprowadzenia zmian do umowy</w:t>
      </w:r>
      <w:r w:rsidR="00F85A17">
        <w:rPr>
          <w:rFonts w:cs="Times New Roman"/>
        </w:rPr>
        <w:t>.</w:t>
      </w:r>
      <w:r w:rsidRPr="00002A92">
        <w:rPr>
          <w:rFonts w:cs="Times New Roman"/>
        </w:rPr>
        <w:t xml:space="preserve"> Decyzje w sprawie wyrażenia zgody na wprowadzenie zmian do</w:t>
      </w:r>
      <w:r>
        <w:rPr>
          <w:rFonts w:cs="Times New Roman"/>
        </w:rPr>
        <w:t xml:space="preserve"> </w:t>
      </w:r>
      <w:r w:rsidRPr="00002A92">
        <w:rPr>
          <w:rFonts w:cs="Times New Roman"/>
        </w:rPr>
        <w:t>umowy podejmują</w:t>
      </w:r>
      <w:r w:rsidR="00F85A17">
        <w:rPr>
          <w:rFonts w:cs="Times New Roman"/>
        </w:rPr>
        <w:t>,</w:t>
      </w:r>
      <w:r w:rsidRPr="00002A92">
        <w:rPr>
          <w:rFonts w:cs="Times New Roman"/>
        </w:rPr>
        <w:t xml:space="preserve"> na</w:t>
      </w:r>
      <w:r w:rsidR="00B36CD4">
        <w:rPr>
          <w:rFonts w:cs="Times New Roman"/>
        </w:rPr>
        <w:t xml:space="preserve"> </w:t>
      </w:r>
      <w:r w:rsidRPr="00002A92">
        <w:rPr>
          <w:rFonts w:cs="Times New Roman"/>
        </w:rPr>
        <w:t>podstawie analizy zasadności wprowadzenia zmian</w:t>
      </w:r>
      <w:r w:rsidR="00F85A17">
        <w:rPr>
          <w:rFonts w:cs="Times New Roman"/>
        </w:rPr>
        <w:t>,</w:t>
      </w:r>
      <w:r w:rsidRPr="00002A92">
        <w:rPr>
          <w:rFonts w:cs="Times New Roman"/>
        </w:rPr>
        <w:t xml:space="preserve"> Pełnomocnicy Zarządu PFRON.</w:t>
      </w:r>
    </w:p>
    <w:p w14:paraId="68C64EB0" w14:textId="77777777" w:rsidR="003961EC" w:rsidRPr="003961EC" w:rsidRDefault="00747233" w:rsidP="004F2DAA">
      <w:pPr>
        <w:pStyle w:val="NormalnyWeb"/>
        <w:spacing w:before="480" w:beforeAutospacing="0" w:after="240" w:afterAutospacing="0"/>
        <w:ind w:left="567" w:hanging="567"/>
        <w:jc w:val="both"/>
        <w:rPr>
          <w:b/>
          <w:sz w:val="32"/>
          <w:szCs w:val="32"/>
        </w:rPr>
      </w:pPr>
      <w:r w:rsidRPr="00B36CD4">
        <w:rPr>
          <w:b/>
          <w:sz w:val="32"/>
          <w:szCs w:val="32"/>
        </w:rPr>
        <w:t>I</w:t>
      </w:r>
      <w:r w:rsidR="00717CC2" w:rsidRPr="00B36CD4">
        <w:rPr>
          <w:b/>
          <w:sz w:val="32"/>
          <w:szCs w:val="32"/>
        </w:rPr>
        <w:t>X</w:t>
      </w:r>
      <w:r w:rsidR="003961EC" w:rsidRPr="00B36CD4">
        <w:rPr>
          <w:b/>
          <w:sz w:val="32"/>
          <w:szCs w:val="32"/>
        </w:rPr>
        <w:t>.</w:t>
      </w:r>
      <w:r w:rsidR="003961EC" w:rsidRPr="00B36CD4">
        <w:rPr>
          <w:b/>
          <w:sz w:val="32"/>
          <w:szCs w:val="32"/>
        </w:rPr>
        <w:tab/>
        <w:t>Zasady</w:t>
      </w:r>
      <w:r w:rsidR="003961EC" w:rsidRPr="003961EC">
        <w:rPr>
          <w:b/>
          <w:sz w:val="32"/>
          <w:szCs w:val="32"/>
        </w:rPr>
        <w:t xml:space="preserve"> kwalifikowalności kosztów w ramach modułu I</w:t>
      </w:r>
      <w:r w:rsidR="003961EC">
        <w:rPr>
          <w:b/>
          <w:sz w:val="32"/>
          <w:szCs w:val="32"/>
        </w:rPr>
        <w:t>I</w:t>
      </w:r>
      <w:r w:rsidR="003961EC" w:rsidRPr="003961EC">
        <w:rPr>
          <w:b/>
          <w:sz w:val="32"/>
          <w:szCs w:val="32"/>
        </w:rPr>
        <w:t xml:space="preserve"> „</w:t>
      </w:r>
      <w:r w:rsidR="003961EC">
        <w:rPr>
          <w:b/>
          <w:sz w:val="32"/>
          <w:szCs w:val="32"/>
        </w:rPr>
        <w:t>Staże zawodowe</w:t>
      </w:r>
      <w:r w:rsidR="003961EC" w:rsidRPr="003961EC">
        <w:rPr>
          <w:b/>
          <w:sz w:val="32"/>
          <w:szCs w:val="32"/>
        </w:rPr>
        <w:t>”</w:t>
      </w:r>
    </w:p>
    <w:p w14:paraId="1AC59B78" w14:textId="77777777" w:rsidR="003961EC" w:rsidRPr="005E1EB2" w:rsidRDefault="00747233" w:rsidP="00747233">
      <w:pPr>
        <w:pStyle w:val="NormalnyWeb"/>
        <w:spacing w:before="360" w:beforeAutospacing="0" w:after="240" w:afterAutospacing="0"/>
        <w:ind w:left="737" w:hanging="737"/>
        <w:jc w:val="both"/>
        <w:rPr>
          <w:b/>
          <w:sz w:val="28"/>
          <w:szCs w:val="28"/>
        </w:rPr>
      </w:pPr>
      <w:r w:rsidRPr="00B36CD4">
        <w:rPr>
          <w:b/>
          <w:sz w:val="28"/>
          <w:szCs w:val="28"/>
        </w:rPr>
        <w:t>I</w:t>
      </w:r>
      <w:r w:rsidR="00717CC2" w:rsidRPr="00B36CD4">
        <w:rPr>
          <w:b/>
          <w:sz w:val="28"/>
          <w:szCs w:val="28"/>
        </w:rPr>
        <w:t>X</w:t>
      </w:r>
      <w:r w:rsidR="003961EC" w:rsidRPr="00B36CD4">
        <w:rPr>
          <w:b/>
          <w:sz w:val="28"/>
          <w:szCs w:val="28"/>
        </w:rPr>
        <w:t>.</w:t>
      </w:r>
      <w:r w:rsidR="005E1EB2" w:rsidRPr="00B36CD4">
        <w:rPr>
          <w:b/>
          <w:sz w:val="28"/>
          <w:szCs w:val="28"/>
        </w:rPr>
        <w:t>1.</w:t>
      </w:r>
      <w:r w:rsidR="003961EC" w:rsidRPr="00B36CD4">
        <w:rPr>
          <w:b/>
          <w:sz w:val="28"/>
          <w:szCs w:val="28"/>
        </w:rPr>
        <w:tab/>
        <w:t>Postanowienia</w:t>
      </w:r>
      <w:r w:rsidR="003961EC" w:rsidRPr="005E1EB2">
        <w:rPr>
          <w:b/>
          <w:sz w:val="28"/>
          <w:szCs w:val="28"/>
        </w:rPr>
        <w:t xml:space="preserve"> ogólne</w:t>
      </w:r>
    </w:p>
    <w:p w14:paraId="29EA02CB" w14:textId="77777777" w:rsidR="003961EC" w:rsidRPr="00527CBA" w:rsidRDefault="003961EC" w:rsidP="00555334">
      <w:pPr>
        <w:numPr>
          <w:ilvl w:val="1"/>
          <w:numId w:val="11"/>
        </w:numPr>
        <w:tabs>
          <w:tab w:val="clear" w:pos="360"/>
        </w:tabs>
        <w:jc w:val="both"/>
        <w:rPr>
          <w:rFonts w:cs="Times New Roman"/>
        </w:rPr>
      </w:pPr>
      <w:r w:rsidRPr="00527CBA">
        <w:rPr>
          <w:rFonts w:cs="Times New Roman"/>
        </w:rPr>
        <w:t>Za kwalifikowalne uznaje się koszty związane z realizacją projektu, o ile:</w:t>
      </w:r>
    </w:p>
    <w:p w14:paraId="1179E211" w14:textId="77777777" w:rsidR="003961EC" w:rsidRPr="00527CBA" w:rsidRDefault="003961EC" w:rsidP="00555334">
      <w:pPr>
        <w:numPr>
          <w:ilvl w:val="0"/>
          <w:numId w:val="8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są niezbędne do realizacji projektu;</w:t>
      </w:r>
    </w:p>
    <w:p w14:paraId="0BE2621F" w14:textId="77777777" w:rsidR="003961EC" w:rsidRPr="00527CBA" w:rsidRDefault="003961EC" w:rsidP="00555334">
      <w:pPr>
        <w:numPr>
          <w:ilvl w:val="0"/>
          <w:numId w:val="8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spełniają wymogi racjonalnego i oszczędnego gospodarowania środkami publicznymi, z zachowaniem zasady uzyskiwania najlepszych efektów z danych nakładów;</w:t>
      </w:r>
    </w:p>
    <w:p w14:paraId="06DAFEBB" w14:textId="77777777" w:rsidR="003961EC" w:rsidRPr="00527CBA" w:rsidRDefault="003961EC" w:rsidP="00555334">
      <w:pPr>
        <w:numPr>
          <w:ilvl w:val="0"/>
          <w:numId w:val="8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zostały uwzględnione w budżecie projektu;</w:t>
      </w:r>
    </w:p>
    <w:p w14:paraId="1A6AF9A4" w14:textId="77777777" w:rsidR="003961EC" w:rsidRPr="00527CBA" w:rsidRDefault="003961EC" w:rsidP="00555334">
      <w:pPr>
        <w:numPr>
          <w:ilvl w:val="0"/>
          <w:numId w:val="8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zostały faktycznie poniesione w okresie objętym umową zawartą pomiędzy Wnioskodawcą a PFRON, w trybie i na warunkach określonych w tej umowie;</w:t>
      </w:r>
    </w:p>
    <w:p w14:paraId="14F7DAC7" w14:textId="77777777" w:rsidR="003961EC" w:rsidRPr="00527CBA" w:rsidRDefault="003961EC" w:rsidP="00555334">
      <w:pPr>
        <w:numPr>
          <w:ilvl w:val="0"/>
          <w:numId w:val="8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są poparte dowodami księgowymi i wykazane w dokumentacji finansowej Wnioskodawcy;</w:t>
      </w:r>
    </w:p>
    <w:p w14:paraId="0390C1BD" w14:textId="77777777" w:rsidR="003961EC" w:rsidRPr="00527CBA" w:rsidRDefault="003961EC" w:rsidP="00555334">
      <w:pPr>
        <w:numPr>
          <w:ilvl w:val="0"/>
          <w:numId w:val="8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są zgodne z obowiązującymi przepisami prawa;</w:t>
      </w:r>
    </w:p>
    <w:p w14:paraId="63652109" w14:textId="77777777" w:rsidR="003961EC" w:rsidRPr="00527CBA" w:rsidRDefault="003961EC" w:rsidP="00555334">
      <w:pPr>
        <w:numPr>
          <w:ilvl w:val="0"/>
          <w:numId w:val="8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nie zostały wymienione w katalogu kosztów niekwalifikowalnych.</w:t>
      </w:r>
    </w:p>
    <w:p w14:paraId="39B14B02" w14:textId="77777777" w:rsidR="003961EC" w:rsidRDefault="003961EC" w:rsidP="00555334">
      <w:pPr>
        <w:numPr>
          <w:ilvl w:val="1"/>
          <w:numId w:val="11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>Pomoc finansowa udzielana jest na pokrycie tych kosztów lub tej części kosztów, które nie zostały sfinansowane z innych źródeł (w tym ze środków funduszy strukturalnych).</w:t>
      </w:r>
    </w:p>
    <w:p w14:paraId="6197656A" w14:textId="19429259" w:rsidR="003961EC" w:rsidRPr="00527CBA" w:rsidRDefault="004E46DC" w:rsidP="00555334">
      <w:pPr>
        <w:numPr>
          <w:ilvl w:val="1"/>
          <w:numId w:val="11"/>
        </w:numPr>
        <w:spacing w:before="120"/>
        <w:jc w:val="both"/>
        <w:rPr>
          <w:rFonts w:cs="Times New Roman"/>
        </w:rPr>
      </w:pPr>
      <w:r w:rsidRPr="004E46DC">
        <w:rPr>
          <w:rFonts w:cs="Times New Roman"/>
        </w:rPr>
        <w:t>Koszty bezpośrednie projektu stanowią w szczególności:</w:t>
      </w:r>
    </w:p>
    <w:p w14:paraId="7B5184F0" w14:textId="77777777" w:rsidR="003961EC" w:rsidRPr="00527CBA" w:rsidRDefault="003961EC" w:rsidP="00555334">
      <w:pPr>
        <w:numPr>
          <w:ilvl w:val="1"/>
          <w:numId w:val="8"/>
        </w:numPr>
        <w:tabs>
          <w:tab w:val="clear" w:pos="737"/>
        </w:tabs>
        <w:spacing w:before="60"/>
        <w:jc w:val="both"/>
        <w:rPr>
          <w:rFonts w:cs="Times New Roman"/>
          <w:bCs/>
        </w:rPr>
      </w:pPr>
      <w:r w:rsidRPr="00527CBA">
        <w:rPr>
          <w:rFonts w:cs="Times New Roman"/>
          <w:bCs/>
        </w:rPr>
        <w:t xml:space="preserve">koszty osobowe personelu merytorycznego (np. trenerów, </w:t>
      </w:r>
      <w:r w:rsidR="001E29E2" w:rsidRPr="00D95EA1">
        <w:rPr>
          <w:rFonts w:cs="Times New Roman"/>
          <w:bCs/>
        </w:rPr>
        <w:t>doradców zawodowych</w:t>
      </w:r>
      <w:r w:rsidRPr="00527CBA">
        <w:rPr>
          <w:rFonts w:cs="Times New Roman"/>
          <w:bCs/>
        </w:rPr>
        <w:t xml:space="preserve">); w przypadku realizacji projektu w ramach działalności odpłatnej zastosowanie mają limity wynagrodzeń określone w art. 9 ustawy </w:t>
      </w:r>
      <w:r w:rsidRPr="00C91414">
        <w:rPr>
          <w:rFonts w:cs="Times New Roman"/>
          <w:bCs/>
        </w:rPr>
        <w:t>o dzi</w:t>
      </w:r>
      <w:r w:rsidR="001E29E2" w:rsidRPr="00C91414">
        <w:rPr>
          <w:rFonts w:cs="Times New Roman"/>
          <w:bCs/>
        </w:rPr>
        <w:t>ałalności pożytku publicznego i </w:t>
      </w:r>
      <w:r w:rsidRPr="00C91414">
        <w:rPr>
          <w:rFonts w:cs="Times New Roman"/>
          <w:bCs/>
        </w:rPr>
        <w:t>o</w:t>
      </w:r>
      <w:r w:rsidR="001E29E2" w:rsidRPr="00C91414">
        <w:rPr>
          <w:rFonts w:cs="Times New Roman"/>
          <w:bCs/>
        </w:rPr>
        <w:t> </w:t>
      </w:r>
      <w:r w:rsidRPr="00C91414">
        <w:rPr>
          <w:rFonts w:cs="Times New Roman"/>
          <w:bCs/>
        </w:rPr>
        <w:t>wolontariacie</w:t>
      </w:r>
      <w:r w:rsidRPr="00527CBA">
        <w:rPr>
          <w:rFonts w:cs="Times New Roman"/>
          <w:bCs/>
        </w:rPr>
        <w:t>;</w:t>
      </w:r>
    </w:p>
    <w:p w14:paraId="0165DF08" w14:textId="686779A9" w:rsidR="003961EC" w:rsidRDefault="003961EC" w:rsidP="00555334">
      <w:pPr>
        <w:numPr>
          <w:ilvl w:val="1"/>
          <w:numId w:val="8"/>
        </w:numPr>
        <w:tabs>
          <w:tab w:val="clear" w:pos="737"/>
        </w:tabs>
        <w:spacing w:before="60"/>
        <w:jc w:val="both"/>
        <w:rPr>
          <w:rFonts w:cs="Times New Roman"/>
          <w:bCs/>
        </w:rPr>
      </w:pPr>
      <w:r w:rsidRPr="00527CBA">
        <w:rPr>
          <w:rFonts w:cs="Times New Roman"/>
          <w:bCs/>
        </w:rPr>
        <w:t xml:space="preserve">koszty związane z udziałem </w:t>
      </w:r>
      <w:r w:rsidR="001E29E2">
        <w:rPr>
          <w:rFonts w:cs="Times New Roman"/>
          <w:bCs/>
        </w:rPr>
        <w:t xml:space="preserve">beneficjentów ostatecznych </w:t>
      </w:r>
      <w:r w:rsidRPr="00527CBA">
        <w:rPr>
          <w:rFonts w:cs="Times New Roman"/>
          <w:bCs/>
        </w:rPr>
        <w:t>projektu (np. </w:t>
      </w:r>
      <w:r w:rsidR="00435BDC" w:rsidRPr="00547507">
        <w:rPr>
          <w:rFonts w:cs="Times New Roman"/>
          <w:bCs/>
        </w:rPr>
        <w:t>stypendium stażowe</w:t>
      </w:r>
      <w:r w:rsidR="00435BDC">
        <w:rPr>
          <w:rFonts w:cs="Times New Roman"/>
          <w:bCs/>
        </w:rPr>
        <w:t xml:space="preserve">, </w:t>
      </w:r>
      <w:r w:rsidR="00485F6A" w:rsidRPr="00D95EA1">
        <w:rPr>
          <w:rFonts w:cs="Times New Roman"/>
          <w:bCs/>
        </w:rPr>
        <w:t xml:space="preserve">usługi szkoleniowe, materiały szkoleniowe, pomoce dydaktyczne, </w:t>
      </w:r>
      <w:r w:rsidRPr="00527CBA">
        <w:rPr>
          <w:rFonts w:cs="Times New Roman"/>
          <w:bCs/>
        </w:rPr>
        <w:t>wyżywienie, zakwaterowanie, przejazdy);</w:t>
      </w:r>
    </w:p>
    <w:p w14:paraId="64B346B9" w14:textId="0E0C5986" w:rsidR="00547507" w:rsidRDefault="00547507" w:rsidP="00547507">
      <w:pPr>
        <w:jc w:val="both"/>
        <w:rPr>
          <w:rFonts w:cs="Times New Roman"/>
          <w:bCs/>
        </w:rPr>
      </w:pPr>
    </w:p>
    <w:p w14:paraId="0AD31A63" w14:textId="5FA7FDFD" w:rsidR="00547507" w:rsidRDefault="00547507" w:rsidP="00547507">
      <w:pPr>
        <w:jc w:val="both"/>
        <w:rPr>
          <w:rFonts w:cs="Times New Roman"/>
          <w:bCs/>
        </w:rPr>
      </w:pPr>
    </w:p>
    <w:p w14:paraId="6CDA2257" w14:textId="2EABFDAF" w:rsidR="003961EC" w:rsidRPr="00527CBA" w:rsidRDefault="003961EC" w:rsidP="00555334">
      <w:pPr>
        <w:numPr>
          <w:ilvl w:val="1"/>
          <w:numId w:val="8"/>
        </w:numPr>
        <w:tabs>
          <w:tab w:val="clear" w:pos="737"/>
        </w:tabs>
        <w:spacing w:before="60"/>
        <w:jc w:val="both"/>
        <w:rPr>
          <w:rFonts w:cs="Times New Roman"/>
          <w:bCs/>
        </w:rPr>
      </w:pPr>
      <w:r w:rsidRPr="00527CBA">
        <w:rPr>
          <w:rFonts w:cs="Times New Roman"/>
          <w:bCs/>
        </w:rPr>
        <w:lastRenderedPageBreak/>
        <w:t xml:space="preserve">inne koszty związane z realizacją projektu, których nie można przypisać do kategorii kosztów wskazanych w </w:t>
      </w:r>
      <w:r w:rsidR="00435BDC" w:rsidRPr="00547507">
        <w:rPr>
          <w:rFonts w:cs="Times New Roman"/>
          <w:bCs/>
        </w:rPr>
        <w:t>pkt 1-2</w:t>
      </w:r>
      <w:r w:rsidR="00435BDC">
        <w:rPr>
          <w:rFonts w:cs="Times New Roman"/>
          <w:bCs/>
        </w:rPr>
        <w:t xml:space="preserve"> </w:t>
      </w:r>
      <w:r w:rsidRPr="00527CBA">
        <w:rPr>
          <w:rFonts w:cs="Times New Roman"/>
          <w:bCs/>
        </w:rPr>
        <w:t>(np. </w:t>
      </w:r>
      <w:r w:rsidR="00485F6A" w:rsidRPr="00D95EA1">
        <w:rPr>
          <w:rFonts w:cs="Times New Roman"/>
          <w:bCs/>
        </w:rPr>
        <w:t>podróże służbowe personelu projektu, dojazdy personelu projektu do beneficjentów ostatecznych, wyżywienie i</w:t>
      </w:r>
      <w:r w:rsidR="00547507">
        <w:rPr>
          <w:rFonts w:cs="Times New Roman"/>
          <w:bCs/>
        </w:rPr>
        <w:t> </w:t>
      </w:r>
      <w:r w:rsidR="00485F6A" w:rsidRPr="00D95EA1">
        <w:rPr>
          <w:rFonts w:cs="Times New Roman"/>
          <w:bCs/>
        </w:rPr>
        <w:t>zakwaterowanie personelu projektu, opłaty bankowe, koszty audytu zewnętrznego projektu</w:t>
      </w:r>
      <w:r w:rsidR="0059167D">
        <w:rPr>
          <w:rFonts w:cs="Times New Roman"/>
          <w:bCs/>
        </w:rPr>
        <w:t xml:space="preserve"> – </w:t>
      </w:r>
      <w:r w:rsidR="0059167D" w:rsidRPr="00547507">
        <w:rPr>
          <w:rFonts w:cs="Times New Roman"/>
          <w:bCs/>
        </w:rPr>
        <w:t>o ile jest wymagany</w:t>
      </w:r>
      <w:r w:rsidR="00485F6A">
        <w:rPr>
          <w:rFonts w:cs="Times New Roman"/>
          <w:bCs/>
        </w:rPr>
        <w:t>)</w:t>
      </w:r>
      <w:r w:rsidRPr="00527CBA">
        <w:rPr>
          <w:rFonts w:cs="Times New Roman"/>
          <w:bCs/>
        </w:rPr>
        <w:t>.</w:t>
      </w:r>
    </w:p>
    <w:p w14:paraId="2EFA291B" w14:textId="77777777" w:rsidR="003961EC" w:rsidRPr="00527CBA" w:rsidRDefault="003961EC" w:rsidP="00555334">
      <w:pPr>
        <w:numPr>
          <w:ilvl w:val="1"/>
          <w:numId w:val="11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>Kosztów kwalifikowalnych nie stanowią w szczególności:</w:t>
      </w:r>
    </w:p>
    <w:p w14:paraId="4E07C03B" w14:textId="77777777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nakłady na nabycie nieruchomości;</w:t>
      </w:r>
    </w:p>
    <w:p w14:paraId="1A6685F5" w14:textId="77777777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rezerwy na pokrycie przyszłych strat lub zobowiązań;</w:t>
      </w:r>
    </w:p>
    <w:p w14:paraId="6A2DB868" w14:textId="77777777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odsetki z tytułu niezapłaconych w terminie zobowiązań;</w:t>
      </w:r>
    </w:p>
    <w:p w14:paraId="770854A8" w14:textId="77777777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koszty nie związane z realizacją projektu;</w:t>
      </w:r>
    </w:p>
    <w:p w14:paraId="15A499EF" w14:textId="77777777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 xml:space="preserve">odsetki, prowizje i </w:t>
      </w:r>
      <w:r w:rsidR="00290C8B">
        <w:rPr>
          <w:rFonts w:cs="Times New Roman"/>
        </w:rPr>
        <w:t>inne koszty pożyczek i kredytów</w:t>
      </w:r>
      <w:r w:rsidRPr="00527CBA">
        <w:rPr>
          <w:rFonts w:cs="Times New Roman"/>
        </w:rPr>
        <w:t>;</w:t>
      </w:r>
    </w:p>
    <w:p w14:paraId="66B224B0" w14:textId="77777777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 xml:space="preserve">koszty poniesione na przygotowanie wniosku o </w:t>
      </w:r>
      <w:r w:rsidR="00631C7C" w:rsidRPr="00B36CD4">
        <w:rPr>
          <w:rFonts w:cs="Times New Roman"/>
        </w:rPr>
        <w:t>dofinansowanie w ramach modułu II „Staże zawodowe”</w:t>
      </w:r>
      <w:r w:rsidRPr="00527CBA">
        <w:rPr>
          <w:rFonts w:cs="Times New Roman"/>
        </w:rPr>
        <w:t>;</w:t>
      </w:r>
    </w:p>
    <w:p w14:paraId="5B365CFC" w14:textId="77777777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mandaty, grzywny, opłaty, koszty sądowe i inne koszty związane z niewykonaniem lub nieterminowym wykonaniem zobowiązań przez Wnioskodawcę;</w:t>
      </w:r>
    </w:p>
    <w:p w14:paraId="4F9A22B6" w14:textId="77777777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odpisy amortyzacyjne (planowane i nieplanowane);</w:t>
      </w:r>
    </w:p>
    <w:p w14:paraId="673280EC" w14:textId="1FC8441E" w:rsidR="003961EC" w:rsidRPr="00527CBA" w:rsidRDefault="003961EC" w:rsidP="00555334">
      <w:pPr>
        <w:numPr>
          <w:ilvl w:val="0"/>
          <w:numId w:val="10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koszty poniesione przed datą rozpoczęcia realizacji projektu oraz po dacie zakończenia realizacji projektu, z zastrzeżeniem ust. </w:t>
      </w:r>
      <w:r w:rsidR="00D83E67">
        <w:rPr>
          <w:rFonts w:cs="Times New Roman"/>
        </w:rPr>
        <w:t>6</w:t>
      </w:r>
      <w:r w:rsidR="004A1ED9">
        <w:rPr>
          <w:rFonts w:cs="Times New Roman"/>
        </w:rPr>
        <w:t>;</w:t>
      </w:r>
    </w:p>
    <w:p w14:paraId="76DFA711" w14:textId="77777777" w:rsidR="004A1ED9" w:rsidRPr="00B36CD4" w:rsidRDefault="004A1ED9" w:rsidP="00555334">
      <w:pPr>
        <w:numPr>
          <w:ilvl w:val="0"/>
          <w:numId w:val="10"/>
        </w:numPr>
        <w:tabs>
          <w:tab w:val="clear" w:pos="737"/>
        </w:tabs>
        <w:spacing w:before="60"/>
        <w:ind w:left="738" w:hanging="454"/>
        <w:jc w:val="both"/>
        <w:rPr>
          <w:rFonts w:cs="Times New Roman"/>
        </w:rPr>
      </w:pPr>
      <w:r w:rsidRPr="00B36CD4">
        <w:rPr>
          <w:rFonts w:cs="Times New Roman"/>
        </w:rPr>
        <w:t>koszty audytu zewnętrznego jeżeli Wnioskodawca planuje przeprowadzenie audytu zewnętrznego pomimo, iż w danym projekcie audyt nie jest wymagany przez PFRON;</w:t>
      </w:r>
    </w:p>
    <w:p w14:paraId="7D19283D" w14:textId="77777777" w:rsidR="004A1ED9" w:rsidRPr="00B36CD4" w:rsidRDefault="004A1ED9" w:rsidP="00555334">
      <w:pPr>
        <w:numPr>
          <w:ilvl w:val="0"/>
          <w:numId w:val="10"/>
        </w:numPr>
        <w:tabs>
          <w:tab w:val="clear" w:pos="737"/>
        </w:tabs>
        <w:spacing w:before="60"/>
        <w:ind w:left="738" w:hanging="454"/>
        <w:jc w:val="both"/>
        <w:rPr>
          <w:rFonts w:cs="Times New Roman"/>
        </w:rPr>
      </w:pPr>
      <w:r w:rsidRPr="00B36CD4">
        <w:rPr>
          <w:rFonts w:cs="Times New Roman"/>
        </w:rPr>
        <w:t xml:space="preserve">koszty zakupu praw autorskich – koszty umowy zawierającej postanowienia o przeniesieniu praw autorskich, w której nie określono odrębnej kwoty za wykonanie dzieła i odrębnej kwoty za przeniesienie praw autorskich </w:t>
      </w:r>
      <w:r w:rsidR="00B01D73" w:rsidRPr="00B36CD4">
        <w:rPr>
          <w:rFonts w:cs="Times New Roman"/>
        </w:rPr>
        <w:t xml:space="preserve">mogą zostać uznane za kwalifikowalne </w:t>
      </w:r>
      <w:r w:rsidRPr="00B36CD4">
        <w:rPr>
          <w:rFonts w:cs="Times New Roman"/>
        </w:rPr>
        <w:t>jedynie wówczas, gdy z treści umowy wynika, iż</w:t>
      </w:r>
      <w:r w:rsidR="00B01D73" w:rsidRPr="00B36CD4">
        <w:rPr>
          <w:rFonts w:cs="Times New Roman"/>
        </w:rPr>
        <w:t xml:space="preserve"> </w:t>
      </w:r>
      <w:r w:rsidRPr="00B36CD4">
        <w:rPr>
          <w:rFonts w:cs="Times New Roman"/>
        </w:rPr>
        <w:t>przeniesienie praw autorskich następuje nieodpłatnie;</w:t>
      </w:r>
    </w:p>
    <w:p w14:paraId="4929B01C" w14:textId="77777777" w:rsidR="004A1ED9" w:rsidRPr="00B36CD4" w:rsidRDefault="004A1ED9" w:rsidP="00555334">
      <w:pPr>
        <w:numPr>
          <w:ilvl w:val="0"/>
          <w:numId w:val="10"/>
        </w:numPr>
        <w:tabs>
          <w:tab w:val="clear" w:pos="737"/>
        </w:tabs>
        <w:spacing w:before="60"/>
        <w:ind w:left="738" w:hanging="454"/>
        <w:jc w:val="both"/>
        <w:rPr>
          <w:rFonts w:cs="Times New Roman"/>
        </w:rPr>
      </w:pPr>
      <w:r w:rsidRPr="00B36CD4">
        <w:rPr>
          <w:rFonts w:cs="Times New Roman"/>
        </w:rPr>
        <w:t>koszty tłumaczenia na język polski przez tłumacza przysięgłego dowodów księgowych wystawionych w języku innym niż język polski.</w:t>
      </w:r>
    </w:p>
    <w:p w14:paraId="5F55F710" w14:textId="591821C5" w:rsidR="003961EC" w:rsidRPr="00527CBA" w:rsidRDefault="003961EC" w:rsidP="00555334">
      <w:pPr>
        <w:numPr>
          <w:ilvl w:val="1"/>
          <w:numId w:val="11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Koszty związane z realizacją projektu kwalifikowalne są z uwzględnieniem zasady memoriałowej, wynikającej z postanowień art. 6 ustawy z dnia 29 września 1994 r. o rachunkowości </w:t>
      </w:r>
      <w:r w:rsidR="00D3440D" w:rsidRPr="00B01169">
        <w:t>(Dz. U. z 201</w:t>
      </w:r>
      <w:r w:rsidR="00D3440D">
        <w:t>9</w:t>
      </w:r>
      <w:r w:rsidR="00D3440D" w:rsidRPr="00B01169">
        <w:t> r. poz. 3</w:t>
      </w:r>
      <w:r w:rsidR="00D3440D">
        <w:t>51</w:t>
      </w:r>
      <w:r w:rsidR="00D3440D" w:rsidRPr="00B01169">
        <w:t>)</w:t>
      </w:r>
      <w:r w:rsidRPr="00527CBA">
        <w:rPr>
          <w:rFonts w:cs="Times New Roman"/>
        </w:rPr>
        <w:t>.</w:t>
      </w:r>
    </w:p>
    <w:p w14:paraId="7FF4194B" w14:textId="2FEBFAE7" w:rsidR="003961EC" w:rsidRDefault="0059167D" w:rsidP="00555334">
      <w:pPr>
        <w:numPr>
          <w:ilvl w:val="1"/>
          <w:numId w:val="11"/>
        </w:numPr>
        <w:spacing w:before="120"/>
        <w:jc w:val="both"/>
        <w:rPr>
          <w:rFonts w:cs="Times New Roman"/>
        </w:rPr>
      </w:pPr>
      <w:r w:rsidRPr="00547507">
        <w:rPr>
          <w:rFonts w:cs="Times New Roman"/>
        </w:rPr>
        <w:t>Koszty inwestycyjne kwalifikowane są zgodnie z polityką rachunkowości Wnioskodawcy.</w:t>
      </w:r>
    </w:p>
    <w:p w14:paraId="527B5572" w14:textId="77777777" w:rsidR="003961EC" w:rsidRPr="00527CBA" w:rsidRDefault="003961EC" w:rsidP="00555334">
      <w:pPr>
        <w:numPr>
          <w:ilvl w:val="1"/>
          <w:numId w:val="11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Za niekwalifikowalne mogą zostać uznane przez PFRON koszty związane z zatrudnieniem personelu zarządzającego projektem, w sytuacji gdy realizacja projektu przebiega nieprawidłowo i powoduje opóźnienia w realizacji harmonogramu projektu, gdy </w:t>
      </w:r>
      <w:r w:rsidR="00964DA3">
        <w:rPr>
          <w:rFonts w:cs="Times New Roman"/>
        </w:rPr>
        <w:t>Wnioskodawca</w:t>
      </w:r>
      <w:r w:rsidRPr="00527CBA">
        <w:rPr>
          <w:rFonts w:cs="Times New Roman"/>
        </w:rPr>
        <w:t xml:space="preserve"> uchyla się od obowiązku składania na żądanie PFRON wyjaśnień oraz dokumentów źródłowych niezbędnyc</w:t>
      </w:r>
      <w:r w:rsidR="00290C8B">
        <w:rPr>
          <w:rFonts w:cs="Times New Roman"/>
        </w:rPr>
        <w:t>h do rozliczenia dofinansowania</w:t>
      </w:r>
      <w:r w:rsidRPr="00527CBA">
        <w:rPr>
          <w:rFonts w:cs="Times New Roman"/>
        </w:rPr>
        <w:t>.</w:t>
      </w:r>
    </w:p>
    <w:p w14:paraId="717CDA8B" w14:textId="29E2E5D9" w:rsidR="003961EC" w:rsidRPr="00290C8B" w:rsidRDefault="00B36CD4" w:rsidP="00747233">
      <w:pPr>
        <w:pStyle w:val="NormalnyWeb"/>
        <w:spacing w:before="360" w:beforeAutospacing="0" w:after="240" w:afterAutospacing="0"/>
        <w:ind w:left="737" w:hanging="737"/>
        <w:jc w:val="both"/>
        <w:rPr>
          <w:b/>
          <w:sz w:val="28"/>
          <w:szCs w:val="28"/>
        </w:rPr>
      </w:pPr>
      <w:r w:rsidRPr="00B36CD4">
        <w:rPr>
          <w:b/>
          <w:sz w:val="28"/>
          <w:szCs w:val="28"/>
        </w:rPr>
        <w:t>I</w:t>
      </w:r>
      <w:r w:rsidR="005A1009" w:rsidRPr="00B36CD4">
        <w:rPr>
          <w:b/>
          <w:sz w:val="28"/>
          <w:szCs w:val="28"/>
        </w:rPr>
        <w:t>X</w:t>
      </w:r>
      <w:r w:rsidR="003961EC" w:rsidRPr="00B36CD4">
        <w:rPr>
          <w:b/>
          <w:sz w:val="28"/>
          <w:szCs w:val="28"/>
        </w:rPr>
        <w:t>.</w:t>
      </w:r>
      <w:r w:rsidR="004E46DC">
        <w:rPr>
          <w:b/>
          <w:sz w:val="28"/>
          <w:szCs w:val="28"/>
        </w:rPr>
        <w:t>2</w:t>
      </w:r>
      <w:r w:rsidR="00290C8B" w:rsidRPr="00B36CD4">
        <w:rPr>
          <w:b/>
          <w:sz w:val="28"/>
          <w:szCs w:val="28"/>
        </w:rPr>
        <w:t>.</w:t>
      </w:r>
      <w:r w:rsidR="003961EC" w:rsidRPr="00B36CD4">
        <w:rPr>
          <w:b/>
          <w:sz w:val="28"/>
          <w:szCs w:val="28"/>
        </w:rPr>
        <w:tab/>
        <w:t>Podatek</w:t>
      </w:r>
      <w:r w:rsidR="003961EC" w:rsidRPr="00290C8B">
        <w:rPr>
          <w:b/>
          <w:sz w:val="28"/>
          <w:szCs w:val="28"/>
        </w:rPr>
        <w:t xml:space="preserve"> VAT</w:t>
      </w:r>
    </w:p>
    <w:p w14:paraId="3DA3F843" w14:textId="518F2228" w:rsidR="00547507" w:rsidRDefault="003961EC" w:rsidP="00547507">
      <w:p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>Wnioskodawcy posiadający uprawnienie do odliczania podatku naliczonego VAT wykazują w budżecie projektu koszty w kwotach netto (z wyjątkiem kosztów w odniesieniu do których nie przysługuje Wnioskodawcy prawo do odliczenia podatku VAT w całości lub w części), a Wnioskodawcy nieposiadający takiego uprawnienia – w kwotach brutto.</w:t>
      </w:r>
    </w:p>
    <w:p w14:paraId="7B1E3B5C" w14:textId="51D828AA" w:rsidR="00547507" w:rsidRDefault="00547507" w:rsidP="00547507">
      <w:pPr>
        <w:jc w:val="both"/>
        <w:rPr>
          <w:rFonts w:cs="Times New Roman"/>
        </w:rPr>
      </w:pPr>
    </w:p>
    <w:p w14:paraId="6C9CDF7E" w14:textId="5936C787" w:rsidR="00547507" w:rsidRDefault="00547507" w:rsidP="00547507">
      <w:pPr>
        <w:jc w:val="both"/>
        <w:rPr>
          <w:rFonts w:cs="Times New Roman"/>
        </w:rPr>
      </w:pPr>
    </w:p>
    <w:p w14:paraId="25916F78" w14:textId="77777777" w:rsidR="00547507" w:rsidRPr="00527CBA" w:rsidRDefault="00547507" w:rsidP="00547507">
      <w:pPr>
        <w:jc w:val="both"/>
        <w:rPr>
          <w:rFonts w:cs="Times New Roman"/>
        </w:rPr>
      </w:pPr>
    </w:p>
    <w:p w14:paraId="068A12CB" w14:textId="736E5D76" w:rsidR="003961EC" w:rsidRPr="00290C8B" w:rsidRDefault="00B36CD4" w:rsidP="00747233">
      <w:pPr>
        <w:pStyle w:val="NormalnyWeb"/>
        <w:spacing w:before="360" w:beforeAutospacing="0" w:after="240" w:afterAutospacing="0"/>
        <w:ind w:left="737" w:hanging="737"/>
        <w:jc w:val="both"/>
        <w:rPr>
          <w:b/>
          <w:sz w:val="28"/>
          <w:szCs w:val="28"/>
        </w:rPr>
      </w:pPr>
      <w:r w:rsidRPr="00B36CD4">
        <w:rPr>
          <w:b/>
          <w:sz w:val="28"/>
          <w:szCs w:val="28"/>
        </w:rPr>
        <w:lastRenderedPageBreak/>
        <w:t>I</w:t>
      </w:r>
      <w:r w:rsidR="005A1009" w:rsidRPr="00B36CD4">
        <w:rPr>
          <w:b/>
          <w:sz w:val="28"/>
          <w:szCs w:val="28"/>
        </w:rPr>
        <w:t>X</w:t>
      </w:r>
      <w:r w:rsidR="00290C8B" w:rsidRPr="00B36CD4">
        <w:rPr>
          <w:b/>
          <w:sz w:val="28"/>
          <w:szCs w:val="28"/>
        </w:rPr>
        <w:t>.</w:t>
      </w:r>
      <w:r w:rsidR="004E46DC">
        <w:rPr>
          <w:b/>
          <w:sz w:val="28"/>
          <w:szCs w:val="28"/>
        </w:rPr>
        <w:t>3</w:t>
      </w:r>
      <w:r w:rsidR="00290C8B" w:rsidRPr="00B36CD4">
        <w:rPr>
          <w:b/>
          <w:sz w:val="28"/>
          <w:szCs w:val="28"/>
        </w:rPr>
        <w:t>.</w:t>
      </w:r>
      <w:r w:rsidR="003961EC" w:rsidRPr="00B36CD4">
        <w:rPr>
          <w:b/>
          <w:sz w:val="28"/>
          <w:szCs w:val="28"/>
        </w:rPr>
        <w:tab/>
        <w:t>Koszty</w:t>
      </w:r>
      <w:r w:rsidR="003961EC" w:rsidRPr="00290C8B">
        <w:rPr>
          <w:b/>
          <w:sz w:val="28"/>
          <w:szCs w:val="28"/>
        </w:rPr>
        <w:t xml:space="preserve"> pośrednie</w:t>
      </w:r>
    </w:p>
    <w:p w14:paraId="79FFA579" w14:textId="5976B2D7" w:rsidR="003961EC" w:rsidRPr="00E9671A" w:rsidRDefault="003961EC" w:rsidP="00555334">
      <w:pPr>
        <w:numPr>
          <w:ilvl w:val="0"/>
          <w:numId w:val="16"/>
        </w:numPr>
        <w:jc w:val="both"/>
        <w:rPr>
          <w:rFonts w:cs="Times New Roman"/>
        </w:rPr>
      </w:pPr>
      <w:r w:rsidRPr="00E9671A">
        <w:rPr>
          <w:rFonts w:cs="Times New Roman"/>
        </w:rPr>
        <w:t xml:space="preserve">Koszty pośrednie (koszty administracyjne związane z projektem) rozliczane </w:t>
      </w:r>
      <w:r w:rsidR="00435BDC" w:rsidRPr="00547507">
        <w:rPr>
          <w:rFonts w:cs="Times New Roman"/>
        </w:rPr>
        <w:t>są</w:t>
      </w:r>
      <w:r w:rsidR="00435BDC">
        <w:rPr>
          <w:rFonts w:cs="Times New Roman"/>
        </w:rPr>
        <w:t xml:space="preserve"> </w:t>
      </w:r>
      <w:r w:rsidRPr="00E9671A">
        <w:rPr>
          <w:rFonts w:cs="Times New Roman"/>
        </w:rPr>
        <w:t>przez Wnioskodawcę ryczałtem</w:t>
      </w:r>
      <w:r w:rsidR="00547507">
        <w:rPr>
          <w:rFonts w:cs="Times New Roman"/>
        </w:rPr>
        <w:t>.</w:t>
      </w:r>
    </w:p>
    <w:p w14:paraId="5F7C07D8" w14:textId="77777777" w:rsidR="003961EC" w:rsidRPr="00527CBA" w:rsidRDefault="003961EC" w:rsidP="00555334">
      <w:pPr>
        <w:numPr>
          <w:ilvl w:val="0"/>
          <w:numId w:val="16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>Pod pojęciem kosztów pośrednich należy rozumieć następujące koszty i opłaty związane z obsługą administracyjną projektu:</w:t>
      </w:r>
    </w:p>
    <w:p w14:paraId="3445D118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koordynatora lub kierownika projektu oraz innego personelu bezpośrednio zaangażowanego w zarządzanie projektem i jego rozliczanie (w tym koszty wynagrodzenia tych osób, ich delegacji służbowych);</w:t>
      </w:r>
    </w:p>
    <w:p w14:paraId="75736792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personelu obsługowego (obsługa kadrowa, finansowa, administracyjna, sekretariat, kancelaria, obsługa prawna);</w:t>
      </w:r>
    </w:p>
    <w:p w14:paraId="675954C8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obsługi księgowej (koszty wynagrodzenia osób księgujących wydatki w projekcie, w tym koszty zlecenia prowadzenia obsługi księgowej biuru rachunkowemu);</w:t>
      </w:r>
    </w:p>
    <w:p w14:paraId="69166986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założeniem lub prowadzeniem rachunku bankowego (rachunków bankowych) wydzielonego (wydzielonych) dla środków otrzymywanych z PFRON w ramach realizacji projektu;</w:t>
      </w:r>
    </w:p>
    <w:p w14:paraId="1BDB36F6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działań informacyjno-promocyjnych projektu (np. zakup materiałów promocyjnych i informacyjnych);</w:t>
      </w:r>
    </w:p>
    <w:p w14:paraId="43D849D1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zakupu środków trwałych i wartości niematerialnych i prawnych na potrzeby personelu, o którym mowa w pkt 1-3;</w:t>
      </w:r>
    </w:p>
    <w:p w14:paraId="5B94B795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utrzymania powierzchni biurowych (czynsz, najem, opłaty administracyjne);</w:t>
      </w:r>
    </w:p>
    <w:p w14:paraId="7353B51A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za energię elektryczną, cieplną, gazową i wodę, opłaty przesyłowe, opłaty za odprowadzanie ścieków;</w:t>
      </w:r>
    </w:p>
    <w:p w14:paraId="6D57AED0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usług pocztowych, telefonicznych, internetowych, kurierskich;</w:t>
      </w:r>
    </w:p>
    <w:p w14:paraId="57DA51E1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ind w:left="738" w:hanging="454"/>
        <w:jc w:val="both"/>
        <w:rPr>
          <w:rFonts w:cs="Times New Roman"/>
        </w:rPr>
      </w:pPr>
      <w:r w:rsidRPr="00527CBA">
        <w:rPr>
          <w:rFonts w:cs="Times New Roman"/>
        </w:rPr>
        <w:t>usług powielania dokumentów;</w:t>
      </w:r>
    </w:p>
    <w:p w14:paraId="6D84095D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ind w:left="738" w:hanging="454"/>
        <w:jc w:val="both"/>
        <w:rPr>
          <w:rFonts w:cs="Times New Roman"/>
        </w:rPr>
      </w:pPr>
      <w:r w:rsidRPr="00527CBA">
        <w:rPr>
          <w:rFonts w:cs="Times New Roman"/>
        </w:rPr>
        <w:t>materiałów biurowych i artykułów piśmienniczych;</w:t>
      </w:r>
    </w:p>
    <w:p w14:paraId="7D6832D0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ind w:left="738" w:hanging="454"/>
        <w:jc w:val="both"/>
        <w:rPr>
          <w:rFonts w:cs="Times New Roman"/>
        </w:rPr>
      </w:pPr>
      <w:r w:rsidRPr="00527CBA">
        <w:rPr>
          <w:rFonts w:cs="Times New Roman"/>
        </w:rPr>
        <w:t>ubezpieczeń majątkowych;</w:t>
      </w:r>
    </w:p>
    <w:p w14:paraId="2172437C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ind w:left="738" w:hanging="454"/>
        <w:jc w:val="both"/>
        <w:rPr>
          <w:rFonts w:cs="Times New Roman"/>
        </w:rPr>
      </w:pPr>
      <w:r w:rsidRPr="00527CBA">
        <w:rPr>
          <w:rFonts w:cs="Times New Roman"/>
        </w:rPr>
        <w:t>ochrony;</w:t>
      </w:r>
    </w:p>
    <w:p w14:paraId="3793B182" w14:textId="77777777" w:rsidR="003961EC" w:rsidRPr="00527CBA" w:rsidRDefault="003961EC" w:rsidP="00555334">
      <w:pPr>
        <w:numPr>
          <w:ilvl w:val="2"/>
          <w:numId w:val="11"/>
        </w:numPr>
        <w:tabs>
          <w:tab w:val="clear" w:pos="737"/>
        </w:tabs>
        <w:autoSpaceDE w:val="0"/>
        <w:autoSpaceDN w:val="0"/>
        <w:adjustRightInd w:val="0"/>
        <w:spacing w:before="60"/>
        <w:ind w:left="738" w:hanging="454"/>
        <w:jc w:val="both"/>
        <w:rPr>
          <w:rFonts w:cs="Times New Roman"/>
        </w:rPr>
      </w:pPr>
      <w:r w:rsidRPr="00527CBA">
        <w:rPr>
          <w:rFonts w:cs="Times New Roman"/>
        </w:rPr>
        <w:t>sprzątania pomieszczeń, w tym koszty zakupu środków do utrzymania czystości pomieszczeń.</w:t>
      </w:r>
    </w:p>
    <w:p w14:paraId="380D8A50" w14:textId="1F2BF156" w:rsidR="003961EC" w:rsidRPr="00527CBA" w:rsidRDefault="003961EC" w:rsidP="00555334">
      <w:pPr>
        <w:numPr>
          <w:ilvl w:val="0"/>
          <w:numId w:val="16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W </w:t>
      </w:r>
      <w:bookmarkStart w:id="14" w:name="_Hlk11530103"/>
      <w:r w:rsidR="004E46DC">
        <w:rPr>
          <w:rFonts w:cs="Times New Roman"/>
        </w:rPr>
        <w:t xml:space="preserve">związku z ryczałtowym </w:t>
      </w:r>
      <w:r w:rsidRPr="00527CBA">
        <w:rPr>
          <w:rFonts w:cs="Times New Roman"/>
        </w:rPr>
        <w:t>sposob</w:t>
      </w:r>
      <w:r w:rsidR="004E46DC">
        <w:rPr>
          <w:rFonts w:cs="Times New Roman"/>
        </w:rPr>
        <w:t>em</w:t>
      </w:r>
      <w:r w:rsidRPr="00527CBA">
        <w:rPr>
          <w:rFonts w:cs="Times New Roman"/>
        </w:rPr>
        <w:t xml:space="preserve"> rozliczania kosztów pośrednich</w:t>
      </w:r>
      <w:bookmarkEnd w:id="14"/>
      <w:r w:rsidRPr="00527CBA">
        <w:rPr>
          <w:rFonts w:cs="Times New Roman"/>
        </w:rPr>
        <w:t>:</w:t>
      </w:r>
    </w:p>
    <w:p w14:paraId="7A8000D7" w14:textId="77777777" w:rsidR="003961EC" w:rsidRDefault="003961EC" w:rsidP="00555334">
      <w:pPr>
        <w:numPr>
          <w:ilvl w:val="0"/>
          <w:numId w:val="12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nie jest dopuszczalne wykazywanie kosztów pośrednich w ramach pozostałych kategorii kosztów, tj. w ramach kosztów bezpośrednich;</w:t>
      </w:r>
    </w:p>
    <w:p w14:paraId="1BAD39E2" w14:textId="77777777" w:rsidR="003961EC" w:rsidRPr="00527CBA" w:rsidRDefault="003961EC" w:rsidP="00555334">
      <w:pPr>
        <w:numPr>
          <w:ilvl w:val="0"/>
          <w:numId w:val="12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na etapie oceny merytorycznej budżet projektu weryfikowany jest pod kątem ewentualnego zidentyfikowania kosztów pośrednich w ramach kosztów bezpośrednich; w przypadku przyznania dofinansowania weryfikacja taka przeprowadzana jest również na etapie rozliczania przyznanych przez PFRON środków;</w:t>
      </w:r>
    </w:p>
    <w:p w14:paraId="5F925DA7" w14:textId="77777777" w:rsidR="003961EC" w:rsidRDefault="003961EC" w:rsidP="00555334">
      <w:pPr>
        <w:numPr>
          <w:ilvl w:val="0"/>
          <w:numId w:val="12"/>
        </w:numPr>
        <w:tabs>
          <w:tab w:val="clear" w:pos="737"/>
        </w:tabs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nie jest dopuszczalne finansowanie w ramach ryczałtu kosztów niekwalifikowalnych</w:t>
      </w:r>
      <w:r w:rsidR="0059167D">
        <w:rPr>
          <w:rFonts w:cs="Times New Roman"/>
        </w:rPr>
        <w:t>.</w:t>
      </w:r>
    </w:p>
    <w:p w14:paraId="0EF8BAF2" w14:textId="77777777" w:rsidR="003961EC" w:rsidRPr="00527CBA" w:rsidRDefault="003961EC" w:rsidP="00555334">
      <w:pPr>
        <w:numPr>
          <w:ilvl w:val="0"/>
          <w:numId w:val="16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>Przyjmuje się następujące maksymalne stawki ryczałtowe stanowiące podstawę rozliczania kosztów pośrednich:</w:t>
      </w:r>
    </w:p>
    <w:p w14:paraId="7728972C" w14:textId="77777777" w:rsidR="003961EC" w:rsidRPr="00527CBA" w:rsidRDefault="003961EC" w:rsidP="00555334">
      <w:pPr>
        <w:numPr>
          <w:ilvl w:val="0"/>
          <w:numId w:val="13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19% kosztów bezpośrednich – w przypadku projektów o wartości (w odniesieniu do kosztów kwalifikowalnych) nieprzekraczającej 500.000 zł;</w:t>
      </w:r>
    </w:p>
    <w:p w14:paraId="6B3C7B34" w14:textId="77777777" w:rsidR="003961EC" w:rsidRPr="00527CBA" w:rsidRDefault="003961EC" w:rsidP="00555334">
      <w:pPr>
        <w:numPr>
          <w:ilvl w:val="0"/>
          <w:numId w:val="13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18% kosztów bezpośrednich – w przypadku projektów o wartości (w odniesieniu do kosztów kwalifikowalnych) powyżej 500.000 zł do 1.000.000 zł włącznie;</w:t>
      </w:r>
    </w:p>
    <w:p w14:paraId="0A4F5C6D" w14:textId="77777777" w:rsidR="003961EC" w:rsidRPr="00527CBA" w:rsidRDefault="003961EC" w:rsidP="00555334">
      <w:pPr>
        <w:numPr>
          <w:ilvl w:val="0"/>
          <w:numId w:val="13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17% kosztów bezpośrednich – w przypadku projektów o wartości (w odniesieniu do kosztów kwalifikowalnych) powyżej 1.000.000 zł do 2.000.000 zł włącznie;</w:t>
      </w:r>
    </w:p>
    <w:p w14:paraId="21996FAE" w14:textId="6195B8B7" w:rsidR="002D436C" w:rsidRPr="00435BDC" w:rsidRDefault="003961EC" w:rsidP="00555334">
      <w:pPr>
        <w:numPr>
          <w:ilvl w:val="0"/>
          <w:numId w:val="13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435BDC">
        <w:rPr>
          <w:rFonts w:cs="Times New Roman"/>
        </w:rPr>
        <w:lastRenderedPageBreak/>
        <w:t>12% kosztów bezpośrednich – w przypadku projektów o wartości (w odniesieniu do kosztów kwalifikowalnych) powyżej 2.000.000 zł</w:t>
      </w:r>
      <w:r w:rsidR="00547507">
        <w:rPr>
          <w:rFonts w:cs="Times New Roman"/>
        </w:rPr>
        <w:t>.</w:t>
      </w:r>
    </w:p>
    <w:p w14:paraId="371FB7AA" w14:textId="77777777" w:rsidR="00E409E1" w:rsidRDefault="003961EC" w:rsidP="00E409E1">
      <w:pPr>
        <w:autoSpaceDE w:val="0"/>
        <w:autoSpaceDN w:val="0"/>
        <w:adjustRightInd w:val="0"/>
        <w:spacing w:before="60"/>
        <w:ind w:left="357"/>
        <w:jc w:val="both"/>
        <w:rPr>
          <w:rFonts w:cs="Times New Roman"/>
        </w:rPr>
      </w:pPr>
      <w:r w:rsidRPr="00527CBA">
        <w:rPr>
          <w:rFonts w:cs="Times New Roman"/>
        </w:rPr>
        <w:t xml:space="preserve">z </w:t>
      </w:r>
      <w:r w:rsidR="00D964C5">
        <w:rPr>
          <w:rFonts w:cs="Times New Roman"/>
        </w:rPr>
        <w:t>zastrzeżeniem postanowień ust. </w:t>
      </w:r>
      <w:r w:rsidR="00B01D73">
        <w:rPr>
          <w:rFonts w:cs="Times New Roman"/>
        </w:rPr>
        <w:t>5</w:t>
      </w:r>
      <w:r w:rsidRPr="00527CBA">
        <w:rPr>
          <w:rFonts w:cs="Times New Roman"/>
        </w:rPr>
        <w:t>-</w:t>
      </w:r>
      <w:r w:rsidR="00B01D73">
        <w:rPr>
          <w:rFonts w:cs="Times New Roman"/>
        </w:rPr>
        <w:t>6</w:t>
      </w:r>
      <w:r w:rsidRPr="00527CBA">
        <w:rPr>
          <w:rFonts w:cs="Times New Roman"/>
        </w:rPr>
        <w:t>.</w:t>
      </w:r>
    </w:p>
    <w:p w14:paraId="56D5CE5F" w14:textId="63D73233" w:rsidR="003961EC" w:rsidRPr="00527CBA" w:rsidRDefault="0059167D" w:rsidP="00555334">
      <w:pPr>
        <w:numPr>
          <w:ilvl w:val="0"/>
          <w:numId w:val="16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>W</w:t>
      </w:r>
      <w:r w:rsidR="003961EC" w:rsidRPr="00527CBA">
        <w:rPr>
          <w:rFonts w:cs="Times New Roman"/>
        </w:rPr>
        <w:t xml:space="preserve"> sytuacji uznania za niekwalifikowalne kosztów bezpośrednich w stosunku do których naliczone zostały koszty pośrednie, odpowiedniemu pomniejszeniu </w:t>
      </w:r>
      <w:r w:rsidRPr="00547507">
        <w:rPr>
          <w:rFonts w:cs="Times New Roman"/>
        </w:rPr>
        <w:t>podlegają</w:t>
      </w:r>
      <w:r>
        <w:rPr>
          <w:rFonts w:cs="Times New Roman"/>
        </w:rPr>
        <w:t xml:space="preserve"> </w:t>
      </w:r>
      <w:r w:rsidR="003961EC" w:rsidRPr="00527CBA">
        <w:rPr>
          <w:rFonts w:cs="Times New Roman"/>
        </w:rPr>
        <w:t>także koszty pośrednie.</w:t>
      </w:r>
    </w:p>
    <w:p w14:paraId="635AF5A4" w14:textId="77777777" w:rsidR="003961EC" w:rsidRPr="00527CBA" w:rsidRDefault="003961EC" w:rsidP="00555334">
      <w:pPr>
        <w:numPr>
          <w:ilvl w:val="0"/>
          <w:numId w:val="16"/>
        </w:numPr>
        <w:spacing w:before="120"/>
        <w:ind w:left="357" w:hanging="357"/>
        <w:jc w:val="both"/>
        <w:rPr>
          <w:rFonts w:cs="Times New Roman"/>
        </w:rPr>
      </w:pPr>
      <w:r w:rsidRPr="00527CBA">
        <w:rPr>
          <w:rFonts w:cs="Times New Roman"/>
        </w:rPr>
        <w:t>W przypadku powierzenia wykonania usług merytorycznych będących elementem projektu wykonawcy zewnętrznemu podstawa wyliczenia limitu kosztów pośrednich rozliczanych ryczałtem ulega pomniejszeniu, poprzez pomniejszenie wartości kosztów bezpośrednich o wartość usług powierzonych.</w:t>
      </w:r>
    </w:p>
    <w:p w14:paraId="338E7A55" w14:textId="574715E1" w:rsidR="003961EC" w:rsidRPr="00547507" w:rsidRDefault="00D964C5" w:rsidP="00555334">
      <w:pPr>
        <w:numPr>
          <w:ilvl w:val="0"/>
          <w:numId w:val="16"/>
        </w:numPr>
        <w:spacing w:before="120"/>
        <w:ind w:left="357" w:hanging="357"/>
        <w:jc w:val="both"/>
        <w:rPr>
          <w:rFonts w:cs="Times New Roman"/>
        </w:rPr>
      </w:pPr>
      <w:r>
        <w:rPr>
          <w:rFonts w:cs="Times New Roman"/>
        </w:rPr>
        <w:t>Postanowienia ust. </w:t>
      </w:r>
      <w:r w:rsidR="00B01D73">
        <w:rPr>
          <w:rFonts w:cs="Times New Roman"/>
        </w:rPr>
        <w:t>6</w:t>
      </w:r>
      <w:r w:rsidR="003961EC" w:rsidRPr="00527CBA">
        <w:rPr>
          <w:rFonts w:cs="Times New Roman"/>
        </w:rPr>
        <w:t xml:space="preserve"> stosuje się do powierzania usług, które mają na celu wniesienie wartości merytorycznej do projektu.</w:t>
      </w:r>
    </w:p>
    <w:p w14:paraId="3602C5D1" w14:textId="77777777" w:rsidR="00BC109D" w:rsidRPr="00547507" w:rsidRDefault="00BC109D" w:rsidP="00BC109D">
      <w:pPr>
        <w:numPr>
          <w:ilvl w:val="0"/>
          <w:numId w:val="16"/>
        </w:numPr>
        <w:spacing w:before="120"/>
        <w:ind w:left="357" w:hanging="357"/>
        <w:jc w:val="both"/>
        <w:rPr>
          <w:rFonts w:cs="Times New Roman"/>
        </w:rPr>
      </w:pPr>
      <w:r w:rsidRPr="00547507">
        <w:rPr>
          <w:rFonts w:cs="Times New Roman"/>
        </w:rPr>
        <w:t>W sytuacji identyfikowania w budżecie projektu usług powierzanych wykonawcy zewnętrznemu w związku z koniecznością ustalenia podstawy wyliczenia limitu kosztów pośrednich rozliczanych ryczałtem, jako powierzenia wykonania usługi nie należy rozumieć:</w:t>
      </w:r>
    </w:p>
    <w:p w14:paraId="236BACF5" w14:textId="77777777" w:rsidR="00BC109D" w:rsidRPr="00547507" w:rsidRDefault="00BC109D" w:rsidP="00BC109D">
      <w:pPr>
        <w:numPr>
          <w:ilvl w:val="0"/>
          <w:numId w:val="32"/>
        </w:numPr>
        <w:spacing w:before="60"/>
        <w:ind w:left="714" w:hanging="357"/>
        <w:jc w:val="both"/>
        <w:rPr>
          <w:rFonts w:cs="Times New Roman"/>
        </w:rPr>
      </w:pPr>
      <w:r w:rsidRPr="00547507">
        <w:rPr>
          <w:rFonts w:cs="Times New Roman"/>
        </w:rPr>
        <w:t>zakupu pojedynczych towarów lub usług (np. cateringowych, hotelowych poligraficznych, wynajem sali), chyba że stanowią one część powierzonej usługi merytorycznej;</w:t>
      </w:r>
    </w:p>
    <w:p w14:paraId="74D6F829" w14:textId="77777777" w:rsidR="00BC109D" w:rsidRPr="00547507" w:rsidRDefault="00BC109D" w:rsidP="00BC109D">
      <w:pPr>
        <w:numPr>
          <w:ilvl w:val="0"/>
          <w:numId w:val="32"/>
        </w:numPr>
        <w:spacing w:before="60"/>
        <w:ind w:left="714" w:hanging="357"/>
        <w:jc w:val="both"/>
        <w:rPr>
          <w:rFonts w:cs="Times New Roman"/>
        </w:rPr>
      </w:pPr>
      <w:r w:rsidRPr="00547507">
        <w:rPr>
          <w:rFonts w:cs="Times New Roman"/>
        </w:rPr>
        <w:t>angażowania personelu projektu;</w:t>
      </w:r>
    </w:p>
    <w:p w14:paraId="75FB2FD5" w14:textId="77777777" w:rsidR="00BC109D" w:rsidRPr="00547507" w:rsidRDefault="00BC109D" w:rsidP="00BC109D">
      <w:pPr>
        <w:numPr>
          <w:ilvl w:val="0"/>
          <w:numId w:val="32"/>
        </w:numPr>
        <w:spacing w:before="60"/>
        <w:ind w:left="714" w:hanging="357"/>
        <w:jc w:val="both"/>
        <w:rPr>
          <w:rFonts w:cs="Times New Roman"/>
        </w:rPr>
      </w:pPr>
      <w:r w:rsidRPr="00547507">
        <w:rPr>
          <w:rFonts w:cs="Times New Roman"/>
        </w:rPr>
        <w:t>usługi związanej z przeprowadzeniem audytu zewnętrznego projektu.</w:t>
      </w:r>
    </w:p>
    <w:p w14:paraId="7BF7DBFA" w14:textId="58621F9E" w:rsidR="003961EC" w:rsidRDefault="003961EC" w:rsidP="00555334">
      <w:pPr>
        <w:numPr>
          <w:ilvl w:val="0"/>
          <w:numId w:val="16"/>
        </w:numPr>
        <w:spacing w:before="120"/>
        <w:ind w:left="357" w:hanging="357"/>
        <w:jc w:val="both"/>
        <w:rPr>
          <w:rFonts w:cs="Times New Roman"/>
        </w:rPr>
      </w:pPr>
      <w:r w:rsidRPr="00527CBA">
        <w:rPr>
          <w:rFonts w:cs="Times New Roman"/>
        </w:rPr>
        <w:t xml:space="preserve">Koszty pośrednie rozliczane przez </w:t>
      </w:r>
      <w:r w:rsidR="00964DA3">
        <w:rPr>
          <w:rFonts w:cs="Times New Roman"/>
        </w:rPr>
        <w:t>Wnioskodawcę</w:t>
      </w:r>
      <w:r w:rsidRPr="00527CBA">
        <w:rPr>
          <w:rFonts w:cs="Times New Roman"/>
        </w:rPr>
        <w:t xml:space="preserve"> ryczałtem są uznawane jako koszty poniesione ze środków PFRON. Dowody księgowe dotyczące ww. kosztów nie podlegają kontroli przez PFRON.</w:t>
      </w:r>
    </w:p>
    <w:p w14:paraId="2ECF44CD" w14:textId="013496A0" w:rsidR="003961EC" w:rsidRPr="00D964C5" w:rsidRDefault="00747233" w:rsidP="00747233">
      <w:pPr>
        <w:pStyle w:val="NormalnyWeb"/>
        <w:spacing w:before="360" w:beforeAutospacing="0" w:after="240" w:afterAutospacing="0"/>
        <w:ind w:left="737" w:hanging="737"/>
        <w:jc w:val="both"/>
        <w:rPr>
          <w:b/>
          <w:sz w:val="28"/>
          <w:szCs w:val="28"/>
        </w:rPr>
      </w:pPr>
      <w:r w:rsidRPr="00B36CD4">
        <w:rPr>
          <w:b/>
          <w:sz w:val="28"/>
          <w:szCs w:val="28"/>
        </w:rPr>
        <w:t>I</w:t>
      </w:r>
      <w:r w:rsidR="005A1009" w:rsidRPr="00B36CD4">
        <w:rPr>
          <w:b/>
          <w:sz w:val="28"/>
          <w:szCs w:val="28"/>
        </w:rPr>
        <w:t>X</w:t>
      </w:r>
      <w:r w:rsidR="00D964C5" w:rsidRPr="00B36CD4">
        <w:rPr>
          <w:b/>
          <w:sz w:val="28"/>
          <w:szCs w:val="28"/>
        </w:rPr>
        <w:t>.</w:t>
      </w:r>
      <w:r w:rsidR="004E46DC">
        <w:rPr>
          <w:b/>
          <w:sz w:val="28"/>
          <w:szCs w:val="28"/>
        </w:rPr>
        <w:t>4</w:t>
      </w:r>
      <w:r w:rsidR="003961EC" w:rsidRPr="00B36CD4">
        <w:rPr>
          <w:b/>
          <w:sz w:val="28"/>
          <w:szCs w:val="28"/>
        </w:rPr>
        <w:t>.</w:t>
      </w:r>
      <w:r w:rsidR="003961EC" w:rsidRPr="00B36CD4">
        <w:rPr>
          <w:b/>
          <w:sz w:val="28"/>
          <w:szCs w:val="28"/>
        </w:rPr>
        <w:tab/>
        <w:t>Przychód</w:t>
      </w:r>
      <w:r w:rsidR="003961EC" w:rsidRPr="00D964C5">
        <w:rPr>
          <w:b/>
          <w:sz w:val="28"/>
          <w:szCs w:val="28"/>
        </w:rPr>
        <w:t xml:space="preserve"> projektu</w:t>
      </w:r>
    </w:p>
    <w:p w14:paraId="608F300E" w14:textId="07BC3E29" w:rsidR="003961EC" w:rsidRPr="00527CBA" w:rsidRDefault="003961EC" w:rsidP="00555334">
      <w:pPr>
        <w:numPr>
          <w:ilvl w:val="0"/>
          <w:numId w:val="17"/>
        </w:numPr>
        <w:ind w:left="357" w:hanging="357"/>
        <w:jc w:val="both"/>
        <w:rPr>
          <w:rFonts w:cs="Times New Roman"/>
        </w:rPr>
      </w:pPr>
      <w:r w:rsidRPr="00527CBA">
        <w:rPr>
          <w:rFonts w:cs="Times New Roman"/>
        </w:rPr>
        <w:t>Planowane przychody projektu muszą zostać wydatkowane na</w:t>
      </w:r>
      <w:r w:rsidR="00B36CD4">
        <w:rPr>
          <w:rFonts w:cs="Times New Roman"/>
        </w:rPr>
        <w:t> </w:t>
      </w:r>
      <w:r w:rsidRPr="00527CBA">
        <w:rPr>
          <w:rFonts w:cs="Times New Roman"/>
        </w:rPr>
        <w:t>sfinansow</w:t>
      </w:r>
      <w:r w:rsidR="00D964C5">
        <w:rPr>
          <w:rFonts w:cs="Times New Roman"/>
        </w:rPr>
        <w:t xml:space="preserve">anie kosztów kwalifikowalnych </w:t>
      </w:r>
      <w:r w:rsidRPr="00527CBA">
        <w:rPr>
          <w:rFonts w:cs="Times New Roman"/>
        </w:rPr>
        <w:t>projektu.</w:t>
      </w:r>
    </w:p>
    <w:p w14:paraId="70338324" w14:textId="77777777" w:rsidR="00491736" w:rsidRDefault="003961EC" w:rsidP="00555334">
      <w:pPr>
        <w:numPr>
          <w:ilvl w:val="0"/>
          <w:numId w:val="1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>Przychody uzyskane w wyniku realizacji projektu, niezaplanowane w budżecie projektu, pomniejszają wysokość udzielonego dofinansowania.</w:t>
      </w:r>
    </w:p>
    <w:p w14:paraId="084F0EF2" w14:textId="19FE2FAC" w:rsidR="003961EC" w:rsidRPr="00D83E67" w:rsidRDefault="00547507" w:rsidP="00547507">
      <w:pPr>
        <w:pStyle w:val="NormalnyWeb"/>
        <w:spacing w:before="360" w:beforeAutospacing="0" w:after="240" w:afterAutospacing="0"/>
        <w:ind w:left="737" w:hanging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964C5" w:rsidRPr="00D83E67">
        <w:rPr>
          <w:b/>
          <w:sz w:val="28"/>
          <w:szCs w:val="28"/>
        </w:rPr>
        <w:t>X</w:t>
      </w:r>
      <w:r w:rsidR="003961EC" w:rsidRPr="00D83E67">
        <w:rPr>
          <w:b/>
          <w:sz w:val="28"/>
          <w:szCs w:val="28"/>
        </w:rPr>
        <w:t>.</w:t>
      </w:r>
      <w:r w:rsidR="004E46DC">
        <w:rPr>
          <w:b/>
          <w:sz w:val="28"/>
          <w:szCs w:val="28"/>
        </w:rPr>
        <w:t>5</w:t>
      </w:r>
      <w:r w:rsidR="003961EC" w:rsidRPr="00D83E67">
        <w:rPr>
          <w:b/>
          <w:sz w:val="28"/>
          <w:szCs w:val="28"/>
        </w:rPr>
        <w:t>.</w:t>
      </w:r>
      <w:r w:rsidR="003961EC" w:rsidRPr="00D83E67">
        <w:rPr>
          <w:b/>
          <w:sz w:val="28"/>
          <w:szCs w:val="28"/>
        </w:rPr>
        <w:tab/>
        <w:t>Koszty osobowe personelu projektu</w:t>
      </w:r>
    </w:p>
    <w:p w14:paraId="5BFD096B" w14:textId="24282FC4" w:rsidR="003961EC" w:rsidRPr="00311781" w:rsidRDefault="003961EC" w:rsidP="00555334">
      <w:pPr>
        <w:numPr>
          <w:ilvl w:val="2"/>
          <w:numId w:val="18"/>
        </w:numPr>
        <w:jc w:val="both"/>
        <w:rPr>
          <w:rFonts w:cs="Times New Roman"/>
        </w:rPr>
      </w:pPr>
      <w:r w:rsidRPr="00311781">
        <w:rPr>
          <w:rFonts w:cs="Times New Roman"/>
        </w:rPr>
        <w:t>Personelem projektu są osoby, które osobiście wykonują zadania w ramach projektu, tj. w szczególności osoby zatrudnione na podstawie stosunku pracy lub stosunku cywilnoprawnego, osoby samozatrudnione, osoby wykonujące świadczenia w formie wolontariatu. Koszty wynagrodzenia personelu projektu wykazywane są w budżecie projektu w</w:t>
      </w:r>
      <w:r w:rsidR="00D21DF7">
        <w:rPr>
          <w:rFonts w:cs="Times New Roman"/>
        </w:rPr>
        <w:t> </w:t>
      </w:r>
      <w:r w:rsidRPr="00311781">
        <w:rPr>
          <w:rFonts w:cs="Times New Roman"/>
        </w:rPr>
        <w:t>kategorii „Koszty osobowe personelu merytorycznego”.</w:t>
      </w:r>
    </w:p>
    <w:p w14:paraId="02E11479" w14:textId="268AAA8F" w:rsidR="003961EC" w:rsidRDefault="003961EC" w:rsidP="00555334">
      <w:pPr>
        <w:numPr>
          <w:ilvl w:val="2"/>
          <w:numId w:val="18"/>
        </w:numPr>
        <w:spacing w:before="120"/>
        <w:jc w:val="both"/>
        <w:rPr>
          <w:rFonts w:cs="Times New Roman"/>
        </w:rPr>
      </w:pPr>
      <w:r w:rsidRPr="00311781">
        <w:rPr>
          <w:rFonts w:cs="Times New Roman"/>
        </w:rPr>
        <w:t>Za kwalifikowalne uznaje się wynagrodzenie wraz z obowiązkowymi składkami na</w:t>
      </w:r>
      <w:r w:rsidR="00D21DF7">
        <w:rPr>
          <w:rFonts w:cs="Times New Roman"/>
        </w:rPr>
        <w:t> </w:t>
      </w:r>
      <w:r w:rsidRPr="00311781">
        <w:rPr>
          <w:rFonts w:cs="Times New Roman"/>
        </w:rPr>
        <w:t>ubezpieczenia społeczne należnymi od pracownika i pracodawcy oraz innymi obowiązkowymi składkami lub wpłatami wynikającymi z przepisów prawa (m.in. Fundusz Pracy, Fundusz Gwarantowanych Świadczeń Pracowniczych, odpisy na Zakładowy Fundusz Świadczeń Socjalnych). Kwalifikowalne jest wynagrodzenie w</w:t>
      </w:r>
      <w:r w:rsidR="00D21DF7">
        <w:rPr>
          <w:rFonts w:cs="Times New Roman"/>
        </w:rPr>
        <w:t xml:space="preserve"> </w:t>
      </w:r>
      <w:r w:rsidRPr="00311781">
        <w:rPr>
          <w:rFonts w:cs="Times New Roman"/>
        </w:rPr>
        <w:t>części odpowiadającej zaangażowaniu pracownika do realizacji projektu.</w:t>
      </w:r>
    </w:p>
    <w:p w14:paraId="30BDF03D" w14:textId="66606767" w:rsidR="00D21DF7" w:rsidRDefault="00D21DF7" w:rsidP="00D21DF7">
      <w:pPr>
        <w:jc w:val="both"/>
        <w:rPr>
          <w:rFonts w:cs="Times New Roman"/>
        </w:rPr>
      </w:pPr>
    </w:p>
    <w:p w14:paraId="1B6BC8CA" w14:textId="77777777" w:rsidR="00D21DF7" w:rsidRDefault="00D21DF7" w:rsidP="00D21DF7">
      <w:pPr>
        <w:jc w:val="both"/>
        <w:rPr>
          <w:rFonts w:cs="Times New Roman"/>
        </w:rPr>
      </w:pPr>
    </w:p>
    <w:p w14:paraId="442F51C2" w14:textId="77777777" w:rsidR="00D21DF7" w:rsidRPr="00311781" w:rsidRDefault="00D21DF7" w:rsidP="00D21DF7">
      <w:pPr>
        <w:jc w:val="both"/>
        <w:rPr>
          <w:rFonts w:cs="Times New Roman"/>
        </w:rPr>
      </w:pPr>
    </w:p>
    <w:p w14:paraId="14D18CD1" w14:textId="77777777" w:rsidR="003961EC" w:rsidRPr="00555334" w:rsidRDefault="003961EC" w:rsidP="00555334">
      <w:pPr>
        <w:numPr>
          <w:ilvl w:val="2"/>
          <w:numId w:val="18"/>
        </w:numPr>
        <w:spacing w:before="120"/>
        <w:jc w:val="both"/>
        <w:rPr>
          <w:rFonts w:cs="Times New Roman"/>
        </w:rPr>
      </w:pPr>
      <w:r w:rsidRPr="00555334">
        <w:rPr>
          <w:rFonts w:cs="Times New Roman"/>
        </w:rPr>
        <w:lastRenderedPageBreak/>
        <w:t>W sytuacji, gdy Wnioskodawca zatrudnia do realizacji projektu osobę niepełnosprawną, za kwalifikowalne uznaje się wynagrodzenie pomniejszone o miesięczne dofinansowanie do wynagrodzenia tego pracownika uzyskane przez Wnioskodawcę w ramach art. 26a ustawy o rehabilitacji.</w:t>
      </w:r>
    </w:p>
    <w:p w14:paraId="01D74C1C" w14:textId="77777777" w:rsidR="003961EC" w:rsidRPr="00311781" w:rsidRDefault="003961EC" w:rsidP="00555334">
      <w:pPr>
        <w:numPr>
          <w:ilvl w:val="2"/>
          <w:numId w:val="18"/>
        </w:numPr>
        <w:spacing w:before="120"/>
        <w:jc w:val="both"/>
        <w:rPr>
          <w:rFonts w:cs="Times New Roman"/>
        </w:rPr>
      </w:pPr>
      <w:r w:rsidRPr="00311781">
        <w:rPr>
          <w:rFonts w:cs="Times New Roman"/>
        </w:rPr>
        <w:t xml:space="preserve">Koszty wynagrodzenia osoby zatrudnionej w projekcie na podstawie umowy cywilnoprawnej, która jest jednocześnie zatrudniona u </w:t>
      </w:r>
      <w:r w:rsidR="001E181A" w:rsidRPr="00311781">
        <w:rPr>
          <w:rFonts w:cs="Times New Roman"/>
        </w:rPr>
        <w:t>Wnioskodawcy</w:t>
      </w:r>
      <w:r w:rsidRPr="00311781">
        <w:rPr>
          <w:rFonts w:cs="Times New Roman"/>
        </w:rPr>
        <w:t xml:space="preserve"> (lub w jednostkach organizacyjnych </w:t>
      </w:r>
      <w:r w:rsidR="001E181A" w:rsidRPr="00311781">
        <w:rPr>
          <w:rFonts w:cs="Times New Roman"/>
        </w:rPr>
        <w:t>Wnioskodawcy</w:t>
      </w:r>
      <w:r w:rsidRPr="00311781">
        <w:rPr>
          <w:rFonts w:cs="Times New Roman"/>
        </w:rPr>
        <w:t>) na podstawie umowy o pracę są kwalifikowalne, o ile:</w:t>
      </w:r>
    </w:p>
    <w:p w14:paraId="24994433" w14:textId="77777777" w:rsidR="003961EC" w:rsidRPr="00311781" w:rsidRDefault="003961EC" w:rsidP="00555334">
      <w:pPr>
        <w:numPr>
          <w:ilvl w:val="0"/>
          <w:numId w:val="20"/>
        </w:numPr>
        <w:spacing w:before="60"/>
        <w:jc w:val="both"/>
        <w:rPr>
          <w:rFonts w:cs="Times New Roman"/>
        </w:rPr>
      </w:pPr>
      <w:r w:rsidRPr="00311781">
        <w:rPr>
          <w:rFonts w:cs="Times New Roman"/>
        </w:rPr>
        <w:t>w ramach umowy cywilnoprawnej pracownik wykonuje pracę rodzajowo różną od pracy wykonywanej na podstawie stosunku pracy (dotyczy osób zatrudnionych w tym samym projekcie na podstawie umowy o pracę oraz na podstawie umowy cywilnoprawnej);</w:t>
      </w:r>
    </w:p>
    <w:p w14:paraId="26DA1A51" w14:textId="77777777" w:rsidR="003961EC" w:rsidRPr="00311781" w:rsidRDefault="003961EC" w:rsidP="00555334">
      <w:pPr>
        <w:numPr>
          <w:ilvl w:val="0"/>
          <w:numId w:val="20"/>
        </w:numPr>
        <w:spacing w:before="60"/>
        <w:jc w:val="both"/>
        <w:rPr>
          <w:rFonts w:cs="Times New Roman"/>
        </w:rPr>
      </w:pPr>
      <w:r w:rsidRPr="00311781">
        <w:rPr>
          <w:rFonts w:cs="Times New Roman"/>
        </w:rPr>
        <w:t>łączne zaangażowanie w realizację zadań wykonywanych zarówno na podstawie umowy o pracę jak również umowy cywilnoprawnej nie przekracza 276 godzin miesięcznie;</w:t>
      </w:r>
    </w:p>
    <w:p w14:paraId="18305B56" w14:textId="77777777" w:rsidR="003961EC" w:rsidRPr="00311781" w:rsidRDefault="003961EC" w:rsidP="00555334">
      <w:pPr>
        <w:numPr>
          <w:ilvl w:val="0"/>
          <w:numId w:val="20"/>
        </w:numPr>
        <w:spacing w:before="60"/>
        <w:jc w:val="both"/>
        <w:rPr>
          <w:rFonts w:cs="Times New Roman"/>
        </w:rPr>
      </w:pPr>
      <w:r w:rsidRPr="00311781">
        <w:rPr>
          <w:rFonts w:cs="Times New Roman"/>
        </w:rPr>
        <w:t>osoba ta prowadzi ewidencję godzin oraz zadań wykonanych w ramach projektu.</w:t>
      </w:r>
    </w:p>
    <w:p w14:paraId="122CB7C7" w14:textId="77777777" w:rsidR="003961EC" w:rsidRPr="00311781" w:rsidRDefault="003961EC" w:rsidP="00555334">
      <w:pPr>
        <w:numPr>
          <w:ilvl w:val="2"/>
          <w:numId w:val="18"/>
        </w:numPr>
        <w:spacing w:before="120"/>
        <w:jc w:val="both"/>
        <w:rPr>
          <w:rFonts w:cs="Times New Roman"/>
        </w:rPr>
      </w:pPr>
      <w:r w:rsidRPr="00311781">
        <w:rPr>
          <w:rFonts w:cs="Times New Roman"/>
        </w:rPr>
        <w:t>Koszty wynagrodzenia osoby zatrudnionej w projekcie na podstawie więcej niż jednej umowy cywilnoprawnej lub zatrudnionej w więcej niż jednym projekcie dofinansowanym ze środków PFRON są kwalifikowalne, o ile:</w:t>
      </w:r>
    </w:p>
    <w:p w14:paraId="1DCD31FF" w14:textId="77777777" w:rsidR="003961EC" w:rsidRPr="00311781" w:rsidRDefault="003961EC" w:rsidP="00555334">
      <w:pPr>
        <w:numPr>
          <w:ilvl w:val="0"/>
          <w:numId w:val="28"/>
        </w:numPr>
        <w:spacing w:before="60"/>
        <w:jc w:val="both"/>
        <w:rPr>
          <w:rFonts w:cs="Times New Roman"/>
        </w:rPr>
      </w:pPr>
      <w:r w:rsidRPr="00311781">
        <w:rPr>
          <w:rFonts w:cs="Times New Roman"/>
        </w:rPr>
        <w:t>łączne zaangażowanie w realizację zadań wykonywanych w projekcie na podstawie więcej niż jednej umowy cywilnoprawnej nie przekracza 276 godzin miesięcznie;</w:t>
      </w:r>
    </w:p>
    <w:p w14:paraId="6403B90F" w14:textId="77777777" w:rsidR="003961EC" w:rsidRPr="00311781" w:rsidRDefault="003961EC" w:rsidP="00555334">
      <w:pPr>
        <w:numPr>
          <w:ilvl w:val="0"/>
          <w:numId w:val="28"/>
        </w:numPr>
        <w:spacing w:before="60"/>
        <w:jc w:val="both"/>
        <w:rPr>
          <w:rFonts w:cs="Times New Roman"/>
        </w:rPr>
      </w:pPr>
      <w:r w:rsidRPr="00311781">
        <w:rPr>
          <w:rFonts w:cs="Times New Roman"/>
        </w:rPr>
        <w:t>łączne zaangażowanie w realizację zadań we wszystkich projektach dofinansowanych ze środków PFRON nie przekracza 276 godzin miesięcznie;</w:t>
      </w:r>
    </w:p>
    <w:p w14:paraId="7DDF61D7" w14:textId="77777777" w:rsidR="003961EC" w:rsidRPr="00311781" w:rsidRDefault="003961EC" w:rsidP="00555334">
      <w:pPr>
        <w:numPr>
          <w:ilvl w:val="0"/>
          <w:numId w:val="28"/>
        </w:numPr>
        <w:spacing w:before="60"/>
        <w:jc w:val="both"/>
        <w:rPr>
          <w:rFonts w:cs="Times New Roman"/>
        </w:rPr>
      </w:pPr>
      <w:r w:rsidRPr="00311781">
        <w:rPr>
          <w:rFonts w:cs="Times New Roman"/>
        </w:rPr>
        <w:t>osoba ta prowadzi ewidencję godzin oraz zadań wykonanych w ramach projektu (w ramach każdego z projektów dofinansowanych ze środków PFRON).</w:t>
      </w:r>
    </w:p>
    <w:p w14:paraId="7DB97CCC" w14:textId="60A87F12" w:rsidR="003961EC" w:rsidRPr="00547507" w:rsidRDefault="003961EC" w:rsidP="00547507">
      <w:pPr>
        <w:numPr>
          <w:ilvl w:val="2"/>
          <w:numId w:val="18"/>
        </w:numPr>
        <w:spacing w:before="120"/>
        <w:jc w:val="both"/>
        <w:rPr>
          <w:rFonts w:cs="Times New Roman"/>
        </w:rPr>
      </w:pPr>
      <w:r w:rsidRPr="00311781">
        <w:rPr>
          <w:rFonts w:cs="Times New Roman"/>
        </w:rPr>
        <w:t xml:space="preserve">Ewidencja, o której mowa w </w:t>
      </w:r>
      <w:r w:rsidRPr="00547507">
        <w:rPr>
          <w:rFonts w:cs="Times New Roman"/>
        </w:rPr>
        <w:t>ust. </w:t>
      </w:r>
      <w:r w:rsidR="00547507" w:rsidRPr="00547507">
        <w:rPr>
          <w:rFonts w:cs="Times New Roman"/>
        </w:rPr>
        <w:t>4</w:t>
      </w:r>
      <w:r w:rsidRPr="00547507">
        <w:rPr>
          <w:rFonts w:cs="Times New Roman"/>
        </w:rPr>
        <w:t xml:space="preserve"> pkt </w:t>
      </w:r>
      <w:r w:rsidR="00547507" w:rsidRPr="00547507">
        <w:rPr>
          <w:rFonts w:cs="Times New Roman"/>
        </w:rPr>
        <w:t>3</w:t>
      </w:r>
      <w:r w:rsidR="00B01D73" w:rsidRPr="00547507">
        <w:rPr>
          <w:rFonts w:cs="Times New Roman"/>
        </w:rPr>
        <w:t xml:space="preserve"> oraz </w:t>
      </w:r>
      <w:r w:rsidRPr="00547507">
        <w:rPr>
          <w:rFonts w:cs="Times New Roman"/>
        </w:rPr>
        <w:t>w ust. </w:t>
      </w:r>
      <w:r w:rsidR="00547507" w:rsidRPr="00547507">
        <w:rPr>
          <w:rFonts w:cs="Times New Roman"/>
        </w:rPr>
        <w:t>5</w:t>
      </w:r>
      <w:r w:rsidRPr="00547507">
        <w:rPr>
          <w:rFonts w:cs="Times New Roman"/>
        </w:rPr>
        <w:t xml:space="preserve"> pkt </w:t>
      </w:r>
      <w:r w:rsidR="00547507" w:rsidRPr="00547507">
        <w:rPr>
          <w:rFonts w:cs="Times New Roman"/>
        </w:rPr>
        <w:t>3</w:t>
      </w:r>
      <w:r w:rsidRPr="00311781">
        <w:rPr>
          <w:rFonts w:cs="Times New Roman"/>
        </w:rPr>
        <w:t xml:space="preserve"> może podlegać weryfikacji przez PFRON. Z ewidencji musi wynikać jakie zadania, w ramach jakiej umowy i w jakich godzinach wykonywała dana osoba każdego dnia (nie jest wymagane szczegółowe wykazywanie poszczególnych czynności w ramach danej umowy).</w:t>
      </w:r>
    </w:p>
    <w:p w14:paraId="47C28A4D" w14:textId="4FBDF2AB" w:rsidR="003961EC" w:rsidRPr="009B13DF" w:rsidRDefault="00547507" w:rsidP="00547507">
      <w:pPr>
        <w:pStyle w:val="NormalnyWeb"/>
        <w:spacing w:before="360" w:beforeAutospacing="0" w:after="240" w:afterAutospacing="0"/>
        <w:ind w:left="737" w:hanging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7E2A67" w:rsidRPr="009B13DF">
        <w:rPr>
          <w:b/>
          <w:sz w:val="28"/>
          <w:szCs w:val="28"/>
        </w:rPr>
        <w:t>X</w:t>
      </w:r>
      <w:r w:rsidR="003961EC" w:rsidRPr="009B13DF">
        <w:rPr>
          <w:b/>
          <w:sz w:val="28"/>
          <w:szCs w:val="28"/>
        </w:rPr>
        <w:t>.</w:t>
      </w:r>
      <w:r w:rsidR="004E46DC">
        <w:rPr>
          <w:b/>
          <w:sz w:val="28"/>
          <w:szCs w:val="28"/>
        </w:rPr>
        <w:t>6</w:t>
      </w:r>
      <w:r w:rsidR="00363276" w:rsidRPr="009B13DF">
        <w:rPr>
          <w:b/>
          <w:sz w:val="28"/>
          <w:szCs w:val="28"/>
        </w:rPr>
        <w:t>.</w:t>
      </w:r>
      <w:r w:rsidR="003961EC" w:rsidRPr="009B13DF">
        <w:rPr>
          <w:b/>
          <w:sz w:val="28"/>
          <w:szCs w:val="28"/>
        </w:rPr>
        <w:tab/>
        <w:t>Zlecanie działań wykonawcy zewnętrznemu</w:t>
      </w:r>
    </w:p>
    <w:p w14:paraId="0D4090AE" w14:textId="77777777" w:rsidR="003961EC" w:rsidRPr="00527CBA" w:rsidRDefault="003961EC" w:rsidP="00555334">
      <w:pPr>
        <w:numPr>
          <w:ilvl w:val="0"/>
          <w:numId w:val="23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W przypadku, gdy </w:t>
      </w:r>
      <w:r w:rsidR="00363276" w:rsidRPr="00527CBA">
        <w:rPr>
          <w:rFonts w:cs="Times New Roman"/>
        </w:rPr>
        <w:t xml:space="preserve">Wnioskodawca </w:t>
      </w:r>
      <w:r w:rsidRPr="00527CBA">
        <w:rPr>
          <w:rFonts w:cs="Times New Roman"/>
        </w:rPr>
        <w:t>nie może samodzielnie wykonać usług będących elementem projektu dopuszcza się możliwość powierzenia wykonania tych usług wykonawcy zewnętrznemu, na podstawie pisemnie zawartej umowy. Dopuszczalny jest tylko jeden poziom zlecania usługi.</w:t>
      </w:r>
    </w:p>
    <w:p w14:paraId="30EE294F" w14:textId="77777777" w:rsidR="00555334" w:rsidRDefault="003961EC" w:rsidP="00555334">
      <w:pPr>
        <w:numPr>
          <w:ilvl w:val="0"/>
          <w:numId w:val="23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Pod pojęciem „powierzenia wykonania usługi wykonawcy zewnętrznemu” należy rozumieć sytuację, w której podmiot prowadzący działalność gospodarczą otrzyma zlecenie na wykonanie usługi i będzie to zlecenie realizować przy pomocy swoich pracowników. </w:t>
      </w:r>
    </w:p>
    <w:p w14:paraId="4B604837" w14:textId="77777777" w:rsidR="003961EC" w:rsidRPr="00527CBA" w:rsidRDefault="003961EC" w:rsidP="00555334">
      <w:pPr>
        <w:numPr>
          <w:ilvl w:val="0"/>
          <w:numId w:val="23"/>
        </w:numPr>
        <w:spacing w:before="120"/>
        <w:ind w:left="357" w:hanging="357"/>
        <w:jc w:val="both"/>
        <w:rPr>
          <w:rFonts w:cs="Times New Roman"/>
        </w:rPr>
      </w:pPr>
      <w:r w:rsidRPr="00527CBA">
        <w:rPr>
          <w:rFonts w:cs="Times New Roman"/>
        </w:rPr>
        <w:t xml:space="preserve">Wybór wykonawcy zewnętrznego musi zostać dokonany z zachowaniem zasady bezstronności, konkurencyjności i obiektywizmu, a także z zachowaniem przepisów o zamówieniach publicznych w zakresie w jakim ustawa </w:t>
      </w:r>
      <w:r w:rsidRPr="00527CBA">
        <w:rPr>
          <w:rFonts w:cs="Times New Roman"/>
          <w:bCs/>
        </w:rPr>
        <w:t>z dnia 29 stycznia 2004 r. Prawo zamówień publicznych (Dz. U. z 201</w:t>
      </w:r>
      <w:r w:rsidR="0018291E">
        <w:rPr>
          <w:rFonts w:cs="Times New Roman"/>
          <w:bCs/>
        </w:rPr>
        <w:t>8</w:t>
      </w:r>
      <w:r w:rsidRPr="00527CBA">
        <w:rPr>
          <w:rFonts w:cs="Times New Roman"/>
          <w:bCs/>
        </w:rPr>
        <w:t> r. poz. </w:t>
      </w:r>
      <w:r w:rsidR="0018291E">
        <w:rPr>
          <w:rFonts w:cs="Times New Roman"/>
          <w:bCs/>
        </w:rPr>
        <w:t>1986</w:t>
      </w:r>
      <w:r w:rsidRPr="00527CBA">
        <w:rPr>
          <w:rFonts w:cs="Times New Roman"/>
          <w:bCs/>
        </w:rPr>
        <w:t>, z późn. zm.), zobowiązuje</w:t>
      </w:r>
      <w:r w:rsidRPr="00527CBA">
        <w:rPr>
          <w:rFonts w:cs="Times New Roman"/>
        </w:rPr>
        <w:t xml:space="preserve"> </w:t>
      </w:r>
      <w:r w:rsidR="007B1E41">
        <w:rPr>
          <w:rFonts w:cs="Times New Roman"/>
        </w:rPr>
        <w:t>Wnioskodawcę</w:t>
      </w:r>
      <w:r w:rsidRPr="00527CBA">
        <w:rPr>
          <w:rFonts w:cs="Times New Roman"/>
        </w:rPr>
        <w:t xml:space="preserve"> do jej stosowania.</w:t>
      </w:r>
    </w:p>
    <w:p w14:paraId="47BF393A" w14:textId="77777777" w:rsidR="003961EC" w:rsidRPr="00527CBA" w:rsidRDefault="003961EC" w:rsidP="00555334">
      <w:pPr>
        <w:numPr>
          <w:ilvl w:val="0"/>
          <w:numId w:val="23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Wykonawcą zewnętrznym nie może być osoba prawna lub inny podmiot wchodzący w skład struktury organizacyjnej </w:t>
      </w:r>
      <w:r w:rsidR="007B1E41">
        <w:rPr>
          <w:rFonts w:cs="Times New Roman"/>
        </w:rPr>
        <w:t>Wnioskodawcy</w:t>
      </w:r>
      <w:r w:rsidRPr="00527CBA">
        <w:rPr>
          <w:rFonts w:cs="Times New Roman"/>
        </w:rPr>
        <w:t>. Wyklucza się także możliwość powierzenia wykonania usług podmiotom powiązanym osobowo lub kapitałowo z</w:t>
      </w:r>
      <w:r w:rsidR="007B1E41">
        <w:rPr>
          <w:rFonts w:cs="Times New Roman"/>
        </w:rPr>
        <w:t xml:space="preserve"> Wnioskodawcą </w:t>
      </w:r>
      <w:r w:rsidRPr="00527CBA">
        <w:rPr>
          <w:rFonts w:cs="Times New Roman"/>
        </w:rPr>
        <w:t xml:space="preserve">lub osobami upoważnionymi do zaciągania zobowiązań w imieniu </w:t>
      </w:r>
      <w:r w:rsidR="007B1E41">
        <w:rPr>
          <w:rFonts w:cs="Times New Roman"/>
        </w:rPr>
        <w:t>Wnioskodawcy</w:t>
      </w:r>
      <w:r w:rsidRPr="00527CBA">
        <w:rPr>
          <w:rFonts w:cs="Times New Roman"/>
        </w:rPr>
        <w:t xml:space="preserve"> lub osobami wykonującymi w imieniu </w:t>
      </w:r>
      <w:r w:rsidR="007B1E41">
        <w:rPr>
          <w:rFonts w:cs="Times New Roman"/>
        </w:rPr>
        <w:t>Wnioskodawcy</w:t>
      </w:r>
      <w:r w:rsidR="007B1E41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>czynności związane z przygotowaniem i przeprowadzeniem procedury wyboru wykonawcy, w szczególności poprzez:</w:t>
      </w:r>
    </w:p>
    <w:p w14:paraId="0E033858" w14:textId="77777777" w:rsidR="003961EC" w:rsidRPr="00527CBA" w:rsidRDefault="003961EC" w:rsidP="00555334">
      <w:pPr>
        <w:numPr>
          <w:ilvl w:val="0"/>
          <w:numId w:val="33"/>
        </w:numPr>
        <w:spacing w:before="60"/>
        <w:ind w:left="714" w:hanging="357"/>
        <w:jc w:val="both"/>
        <w:rPr>
          <w:rFonts w:cs="Times New Roman"/>
        </w:rPr>
      </w:pPr>
      <w:r w:rsidRPr="00527CBA">
        <w:rPr>
          <w:rFonts w:cs="Times New Roman"/>
        </w:rPr>
        <w:lastRenderedPageBreak/>
        <w:t>uczestnictwo w spółce jako wspólnik spółki cywilnej lub spółki osobowej;</w:t>
      </w:r>
    </w:p>
    <w:p w14:paraId="2C954C61" w14:textId="77777777" w:rsidR="003961EC" w:rsidRPr="00527CBA" w:rsidRDefault="003961EC" w:rsidP="00555334">
      <w:pPr>
        <w:numPr>
          <w:ilvl w:val="0"/>
          <w:numId w:val="33"/>
        </w:numPr>
        <w:spacing w:before="60"/>
        <w:ind w:left="714" w:hanging="357"/>
        <w:jc w:val="both"/>
        <w:rPr>
          <w:rFonts w:cs="Times New Roman"/>
        </w:rPr>
      </w:pPr>
      <w:r w:rsidRPr="00527CBA">
        <w:rPr>
          <w:rFonts w:cs="Times New Roman"/>
        </w:rPr>
        <w:t>posiadanie udziałów lub co najmniej 10% akcji;</w:t>
      </w:r>
    </w:p>
    <w:p w14:paraId="769FF8DB" w14:textId="77777777" w:rsidR="003961EC" w:rsidRPr="00527CBA" w:rsidRDefault="003961EC" w:rsidP="00555334">
      <w:pPr>
        <w:numPr>
          <w:ilvl w:val="0"/>
          <w:numId w:val="33"/>
        </w:numPr>
        <w:spacing w:before="60"/>
        <w:ind w:left="714" w:hanging="357"/>
        <w:jc w:val="both"/>
        <w:rPr>
          <w:rFonts w:cs="Times New Roman"/>
        </w:rPr>
      </w:pPr>
      <w:r w:rsidRPr="00527CBA">
        <w:rPr>
          <w:rFonts w:cs="Times New Roman"/>
        </w:rPr>
        <w:t>pełnienie funkcji członka organu nadzorczego lub zarządzającego, prokurenta, pełnomocnika;</w:t>
      </w:r>
    </w:p>
    <w:p w14:paraId="721ADEAB" w14:textId="77777777" w:rsidR="003961EC" w:rsidRDefault="003961EC" w:rsidP="00555334">
      <w:pPr>
        <w:numPr>
          <w:ilvl w:val="0"/>
          <w:numId w:val="33"/>
        </w:numPr>
        <w:spacing w:before="60"/>
        <w:ind w:left="714" w:hanging="357"/>
        <w:jc w:val="both"/>
        <w:rPr>
          <w:rFonts w:cs="Times New Roman"/>
        </w:rPr>
      </w:pPr>
      <w:r w:rsidRPr="00527CBA">
        <w:rPr>
          <w:rFonts w:cs="Times New Roman"/>
        </w:rPr>
        <w:t>pozostawanie w związku małżeńskim, w stosunku pokrewieństwa lub powinowactwa w linii prostej, pokrewieństwa lub powinowactwa w linii bocznej do drugiego stopnia lub w stosunku przysposobienia, opieki lub kurateli.</w:t>
      </w:r>
    </w:p>
    <w:p w14:paraId="6D381029" w14:textId="60616E92" w:rsidR="003961EC" w:rsidRPr="00D21DF7" w:rsidRDefault="003961EC" w:rsidP="00D21DF7">
      <w:pPr>
        <w:numPr>
          <w:ilvl w:val="0"/>
          <w:numId w:val="23"/>
        </w:numPr>
        <w:spacing w:before="120"/>
        <w:jc w:val="both"/>
        <w:rPr>
          <w:rFonts w:cs="Times New Roman"/>
        </w:rPr>
      </w:pPr>
      <w:r w:rsidRPr="00D21DF7">
        <w:rPr>
          <w:rFonts w:cs="Times New Roman"/>
        </w:rPr>
        <w:t>Warunkiem uznania kosztów powierzenia wykonania usług za kwalifikowalne jest</w:t>
      </w:r>
      <w:r w:rsidR="00D21DF7" w:rsidRPr="00D21DF7">
        <w:rPr>
          <w:rFonts w:cs="Times New Roman"/>
        </w:rPr>
        <w:t xml:space="preserve"> </w:t>
      </w:r>
      <w:r w:rsidRPr="00D21DF7">
        <w:rPr>
          <w:rFonts w:cs="Times New Roman"/>
        </w:rPr>
        <w:t xml:space="preserve">zastosowanie trybu określonego w rozdziale </w:t>
      </w:r>
      <w:r w:rsidR="00547507" w:rsidRPr="00D21DF7">
        <w:rPr>
          <w:rFonts w:cs="Times New Roman"/>
        </w:rPr>
        <w:t>I</w:t>
      </w:r>
      <w:r w:rsidR="007B1E41" w:rsidRPr="00D21DF7">
        <w:rPr>
          <w:rFonts w:cs="Times New Roman"/>
        </w:rPr>
        <w:t>X.</w:t>
      </w:r>
      <w:r w:rsidR="004E46DC" w:rsidRPr="00D21DF7">
        <w:rPr>
          <w:rFonts w:cs="Times New Roman"/>
        </w:rPr>
        <w:t>7</w:t>
      </w:r>
      <w:r w:rsidR="007B1E41" w:rsidRPr="00D21DF7">
        <w:rPr>
          <w:rFonts w:cs="Times New Roman"/>
        </w:rPr>
        <w:t>.</w:t>
      </w:r>
      <w:r w:rsidRPr="00D21DF7">
        <w:rPr>
          <w:rFonts w:cs="Times New Roman"/>
        </w:rPr>
        <w:t xml:space="preserve"> niniejszego dokumentu – w przypadku zamówień których wartość przekracza wyrażoną w złotych równowartość kwoty 14 tys. euro netto (tj. bez podatku VAT); wartość zamówienia ustalana jest zgodnie ze średnim kursem złotego w stosunku do euro, o którym mowa w art. 35 ust. 3 ustawy Prawo zamówień publicznych.</w:t>
      </w:r>
    </w:p>
    <w:p w14:paraId="1AD0D362" w14:textId="77777777" w:rsidR="003961EC" w:rsidRPr="00527CBA" w:rsidRDefault="003961EC" w:rsidP="00D21DF7">
      <w:pPr>
        <w:numPr>
          <w:ilvl w:val="0"/>
          <w:numId w:val="23"/>
        </w:numPr>
        <w:spacing w:before="120"/>
        <w:ind w:left="357" w:hanging="357"/>
        <w:jc w:val="both"/>
        <w:rPr>
          <w:rFonts w:cs="Times New Roman"/>
        </w:rPr>
      </w:pPr>
      <w:r w:rsidRPr="00527CBA">
        <w:rPr>
          <w:rFonts w:cs="Times New Roman"/>
        </w:rPr>
        <w:t>W przypadku wniosku wspólnego wykonawcą zewnętrznym nie może być żaden z Wnioskodawców składających wniosek wspólny – nie jest zatem możliwe zlecanie wykonania usług jednemu z Wnioskodawców przez innego Wnioskodawcę składającego wniosek wspólny.</w:t>
      </w:r>
    </w:p>
    <w:p w14:paraId="584A0C06" w14:textId="15CEB072" w:rsidR="003961EC" w:rsidRPr="009B13DF" w:rsidRDefault="00547507" w:rsidP="00547507">
      <w:pPr>
        <w:pStyle w:val="NormalnyWeb"/>
        <w:spacing w:before="360" w:beforeAutospacing="0" w:after="240" w:afterAutospacing="0"/>
        <w:ind w:left="737" w:hanging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7E2A67" w:rsidRPr="009B13DF">
        <w:rPr>
          <w:b/>
          <w:sz w:val="28"/>
          <w:szCs w:val="28"/>
        </w:rPr>
        <w:t>X</w:t>
      </w:r>
      <w:r w:rsidR="007B1E41" w:rsidRPr="009B13DF">
        <w:rPr>
          <w:b/>
          <w:sz w:val="28"/>
          <w:szCs w:val="28"/>
        </w:rPr>
        <w:t>.</w:t>
      </w:r>
      <w:r w:rsidR="004E46DC">
        <w:rPr>
          <w:b/>
          <w:sz w:val="28"/>
          <w:szCs w:val="28"/>
        </w:rPr>
        <w:t>7</w:t>
      </w:r>
      <w:r w:rsidR="007B1E41" w:rsidRPr="009B13DF">
        <w:rPr>
          <w:b/>
          <w:sz w:val="28"/>
          <w:szCs w:val="28"/>
        </w:rPr>
        <w:t>.</w:t>
      </w:r>
      <w:r w:rsidR="003961EC" w:rsidRPr="009B13DF">
        <w:rPr>
          <w:b/>
          <w:sz w:val="28"/>
          <w:szCs w:val="28"/>
        </w:rPr>
        <w:tab/>
        <w:t>Zasada konkurencyjności</w:t>
      </w:r>
    </w:p>
    <w:p w14:paraId="2BBC2F94" w14:textId="77777777" w:rsidR="003961EC" w:rsidRPr="00527CBA" w:rsidRDefault="00964DA3" w:rsidP="00555334">
      <w:pPr>
        <w:numPr>
          <w:ilvl w:val="0"/>
          <w:numId w:val="27"/>
        </w:numPr>
        <w:jc w:val="both"/>
        <w:rPr>
          <w:rFonts w:cs="Times New Roman"/>
        </w:rPr>
      </w:pPr>
      <w:r>
        <w:rPr>
          <w:rFonts w:cs="Times New Roman"/>
        </w:rPr>
        <w:t>Wnioskodawca</w:t>
      </w:r>
      <w:r w:rsidR="003961EC" w:rsidRPr="00527CBA">
        <w:rPr>
          <w:rFonts w:cs="Times New Roman"/>
        </w:rPr>
        <w:t xml:space="preserve">, który nie jest zobowiązany do stosowania przepisów ustawy </w:t>
      </w:r>
      <w:r w:rsidR="003961EC" w:rsidRPr="00527CBA">
        <w:rPr>
          <w:rFonts w:cs="Times New Roman"/>
          <w:bCs/>
        </w:rPr>
        <w:t xml:space="preserve">z dnia 29 stycznia 2004 r. Prawo zamówień publicznych </w:t>
      </w:r>
      <w:r w:rsidR="0018291E" w:rsidRPr="00527CBA">
        <w:rPr>
          <w:rFonts w:cs="Times New Roman"/>
          <w:bCs/>
        </w:rPr>
        <w:t>(Dz. U. z 201</w:t>
      </w:r>
      <w:r w:rsidR="0018291E">
        <w:rPr>
          <w:rFonts w:cs="Times New Roman"/>
          <w:bCs/>
        </w:rPr>
        <w:t>8</w:t>
      </w:r>
      <w:r w:rsidR="0018291E" w:rsidRPr="00527CBA">
        <w:rPr>
          <w:rFonts w:cs="Times New Roman"/>
          <w:bCs/>
        </w:rPr>
        <w:t> r. poz. </w:t>
      </w:r>
      <w:r w:rsidR="0018291E">
        <w:rPr>
          <w:rFonts w:cs="Times New Roman"/>
          <w:bCs/>
        </w:rPr>
        <w:t>1986</w:t>
      </w:r>
      <w:r w:rsidR="0018291E" w:rsidRPr="00527CBA">
        <w:rPr>
          <w:rFonts w:cs="Times New Roman"/>
          <w:bCs/>
        </w:rPr>
        <w:t>, z późn. zm.)</w:t>
      </w:r>
      <w:r w:rsidR="003961EC" w:rsidRPr="00527CBA">
        <w:rPr>
          <w:rFonts w:cs="Times New Roman"/>
          <w:bCs/>
        </w:rPr>
        <w:t>, zobligowany</w:t>
      </w:r>
      <w:r w:rsidR="003961EC" w:rsidRPr="00527CBA">
        <w:rPr>
          <w:rFonts w:cs="Times New Roman"/>
        </w:rPr>
        <w:t xml:space="preserve"> jest do ponoszenia kosztów w ramach projektu zgodnie z zasadą konkurencyjności.</w:t>
      </w:r>
    </w:p>
    <w:p w14:paraId="6D79FBBB" w14:textId="2DA72D49" w:rsidR="003961EC" w:rsidRPr="00527CBA" w:rsidRDefault="003961EC" w:rsidP="00555334">
      <w:pPr>
        <w:numPr>
          <w:ilvl w:val="0"/>
          <w:numId w:val="2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Zasada konkurencyjności dotyczy wszystkich zamówień wykonywanych przez wykonawcę na rzecz </w:t>
      </w:r>
      <w:r w:rsidR="00964DA3">
        <w:rPr>
          <w:rFonts w:cs="Times New Roman"/>
        </w:rPr>
        <w:t>Wnioskodawcy</w:t>
      </w:r>
      <w:r w:rsidRPr="00527CBA">
        <w:rPr>
          <w:rFonts w:cs="Times New Roman"/>
        </w:rPr>
        <w:t xml:space="preserve"> w ramach projektu, których wartość przekracza wyrażoną w złotych równowartość kwoty 14 tys. euro netto (tj. bez podatku VAT). Wartość zamówienia ustalana jest zgodnie ze średnim kursem złotego w stosunku do euro, o którym mowa w art. 35 ust. 3 ustawy Prawo zamówień publicznych. Pod pojęciem „zamówienia” należy rozumieć odpłatną umowę zawieraną pomiędzy </w:t>
      </w:r>
      <w:r w:rsidR="00A85946">
        <w:rPr>
          <w:rFonts w:cs="Times New Roman"/>
        </w:rPr>
        <w:t>Wnioskodawcą</w:t>
      </w:r>
      <w:r w:rsidRPr="00527CBA">
        <w:rPr>
          <w:rFonts w:cs="Times New Roman"/>
        </w:rPr>
        <w:t xml:space="preserve"> a wykonawcą, której przedmiotem są usługi, </w:t>
      </w:r>
      <w:r w:rsidR="00555334">
        <w:rPr>
          <w:rFonts w:cs="Times New Roman"/>
        </w:rPr>
        <w:t xml:space="preserve">lub </w:t>
      </w:r>
      <w:r w:rsidRPr="00527CBA">
        <w:rPr>
          <w:rFonts w:cs="Times New Roman"/>
        </w:rPr>
        <w:t xml:space="preserve">dostawy. Zasady konkurencyjności nie stosuje się do zamówień dotyczących zadań wykonywanych przez personel projektu, z którym </w:t>
      </w:r>
      <w:r w:rsidR="00A85946">
        <w:rPr>
          <w:rFonts w:cs="Times New Roman"/>
        </w:rPr>
        <w:t>Wnioskodawca</w:t>
      </w:r>
      <w:r w:rsidRPr="00527CBA">
        <w:rPr>
          <w:rFonts w:cs="Times New Roman"/>
        </w:rPr>
        <w:t xml:space="preserve"> w okresie co najmniej jednego roku przed złożeniem wniosku współpracował w sposób ciągły lub powtarzalny.</w:t>
      </w:r>
    </w:p>
    <w:p w14:paraId="7BBB3342" w14:textId="77777777" w:rsidR="003961EC" w:rsidRPr="00527CBA" w:rsidRDefault="003961EC" w:rsidP="00555334">
      <w:pPr>
        <w:numPr>
          <w:ilvl w:val="0"/>
          <w:numId w:val="2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Zamówienia sumowane są w ramach danego projektu realizowanego przez </w:t>
      </w:r>
      <w:r w:rsidR="00A85946">
        <w:rPr>
          <w:rFonts w:cs="Times New Roman"/>
        </w:rPr>
        <w:t>Wnioskodawcę</w:t>
      </w:r>
      <w:r w:rsidRPr="00527CBA">
        <w:rPr>
          <w:rFonts w:cs="Times New Roman"/>
        </w:rPr>
        <w:t xml:space="preserve">. </w:t>
      </w:r>
      <w:r w:rsidR="00A85946">
        <w:rPr>
          <w:rFonts w:cs="Times New Roman"/>
        </w:rPr>
        <w:t>Wnioskodawca</w:t>
      </w:r>
      <w:r w:rsidRPr="00527CBA">
        <w:rPr>
          <w:rFonts w:cs="Times New Roman"/>
        </w:rPr>
        <w:t xml:space="preserve"> zobowiązany jest przeanalizować budżet projektu w celu zidentyfikowania tych zamówień, które będą się powtarzać i które mogą skutkować przekroczeniem progu, dla którego zasada konkurencyjności jest obowiązkowa.</w:t>
      </w:r>
    </w:p>
    <w:p w14:paraId="57AA74C5" w14:textId="77777777" w:rsidR="003961EC" w:rsidRPr="00527CBA" w:rsidRDefault="003961EC" w:rsidP="00555334">
      <w:pPr>
        <w:numPr>
          <w:ilvl w:val="0"/>
          <w:numId w:val="2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Łączne spełnienie następujących kryteriów pozwala na ustalenie przez </w:t>
      </w:r>
      <w:r w:rsidR="00A85946">
        <w:rPr>
          <w:rFonts w:cs="Times New Roman"/>
        </w:rPr>
        <w:t>Wnioskodawcę</w:t>
      </w:r>
      <w:r w:rsidRPr="00527CBA">
        <w:rPr>
          <w:rFonts w:cs="Times New Roman"/>
        </w:rPr>
        <w:t>, czy w przypadku zlecenia usług, dostaw i robót budowlanych występuje jedno zamówienie, czy też odrębne zamówienia:</w:t>
      </w:r>
    </w:p>
    <w:p w14:paraId="414E84E7" w14:textId="77777777" w:rsidR="003961EC" w:rsidRPr="00527CBA" w:rsidRDefault="003961EC" w:rsidP="003961EC">
      <w:pPr>
        <w:spacing w:before="60"/>
        <w:ind w:left="714" w:hanging="357"/>
        <w:jc w:val="both"/>
        <w:rPr>
          <w:rFonts w:cs="Times New Roman"/>
        </w:rPr>
      </w:pPr>
      <w:r w:rsidRPr="00527CBA">
        <w:rPr>
          <w:rFonts w:cs="Times New Roman"/>
        </w:rPr>
        <w:t>1)</w:t>
      </w:r>
      <w:r w:rsidRPr="00527CBA">
        <w:rPr>
          <w:rFonts w:cs="Times New Roman"/>
        </w:rPr>
        <w:tab/>
        <w:t>tożsamość przedmiotowa zamówienia – dostawy, usługi i roboty budowlane tego samego rodzaju i o tym samym przeznaczeniu;</w:t>
      </w:r>
    </w:p>
    <w:p w14:paraId="7C4D7BDD" w14:textId="77777777" w:rsidR="003961EC" w:rsidRPr="00527CBA" w:rsidRDefault="003961EC" w:rsidP="003961EC">
      <w:pPr>
        <w:spacing w:before="60"/>
        <w:ind w:left="714" w:hanging="357"/>
        <w:jc w:val="both"/>
        <w:rPr>
          <w:rFonts w:cs="Times New Roman"/>
        </w:rPr>
      </w:pPr>
      <w:r w:rsidRPr="00527CBA">
        <w:rPr>
          <w:rFonts w:cs="Times New Roman"/>
        </w:rPr>
        <w:t>2)</w:t>
      </w:r>
      <w:r w:rsidRPr="00527CBA">
        <w:rPr>
          <w:rFonts w:cs="Times New Roman"/>
        </w:rPr>
        <w:tab/>
        <w:t>tożsamość czasowa zamówienia – możliwe udzielenie zamówienia w tym samym czasie;</w:t>
      </w:r>
    </w:p>
    <w:p w14:paraId="4395C758" w14:textId="77777777" w:rsidR="003961EC" w:rsidRPr="00527CBA" w:rsidRDefault="003961EC" w:rsidP="003961EC">
      <w:p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</w:rPr>
      </w:pPr>
      <w:r w:rsidRPr="00527CBA">
        <w:rPr>
          <w:rFonts w:cs="Times New Roman"/>
        </w:rPr>
        <w:t>3)</w:t>
      </w:r>
      <w:r w:rsidRPr="00527CBA">
        <w:rPr>
          <w:rFonts w:cs="Times New Roman"/>
        </w:rPr>
        <w:tab/>
        <w:t>tożsamość podmiotowa zamówienia – możliwość wykonania zamówienia przez jednego wykonawcę.</w:t>
      </w:r>
    </w:p>
    <w:p w14:paraId="640D50C3" w14:textId="77777777" w:rsidR="003961EC" w:rsidRDefault="003961EC" w:rsidP="00555334">
      <w:pPr>
        <w:numPr>
          <w:ilvl w:val="0"/>
          <w:numId w:val="2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Zgodnie z zasadą konkurencyjności </w:t>
      </w:r>
      <w:r w:rsidR="00A85946">
        <w:rPr>
          <w:rFonts w:cs="Times New Roman"/>
        </w:rPr>
        <w:t>Wnioskodawca</w:t>
      </w:r>
      <w:r w:rsidR="00A85946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>zobowiązany jest do wysłania zapytania ofertowego do co najmniej trzech potencjalnych wykonawców – o ile na rynku istnieje trzech potencjalnych wykonawców danego zamówienia.</w:t>
      </w:r>
    </w:p>
    <w:p w14:paraId="6DE021DA" w14:textId="77777777" w:rsidR="003961EC" w:rsidRPr="00527CBA" w:rsidRDefault="003961EC" w:rsidP="00555334">
      <w:pPr>
        <w:numPr>
          <w:ilvl w:val="0"/>
          <w:numId w:val="2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lastRenderedPageBreak/>
        <w:t xml:space="preserve">Niezależnie od postanowień zawartych w ust. 5 </w:t>
      </w:r>
      <w:r w:rsidR="00A85946">
        <w:rPr>
          <w:rFonts w:cs="Times New Roman"/>
        </w:rPr>
        <w:t>Wnioskodawca</w:t>
      </w:r>
      <w:r w:rsidR="00A85946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 xml:space="preserve">zobowiązany jest do upublicznienia zapytania ofertowego – jeżeli </w:t>
      </w:r>
      <w:r w:rsidR="00A85946">
        <w:rPr>
          <w:rFonts w:cs="Times New Roman"/>
        </w:rPr>
        <w:t>Wnioskodawca</w:t>
      </w:r>
      <w:r w:rsidR="00A85946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 xml:space="preserve">posiada stronę internetową zobowiązany jest do zamieszczenia zapytania ofertowego na swojej stronie internetowej. Zapytanie ofertowe może zostać zamieszczone w siedzibie </w:t>
      </w:r>
      <w:r w:rsidR="00A85946">
        <w:rPr>
          <w:rFonts w:cs="Times New Roman"/>
        </w:rPr>
        <w:t>Wnioskodawcy</w:t>
      </w:r>
      <w:r w:rsidRPr="00527CBA">
        <w:rPr>
          <w:rFonts w:cs="Times New Roman"/>
        </w:rPr>
        <w:t>, w szczególności w sytuacji gdy charakter zamówienia wskazuje, że może być to podstawowa forma dotarcia do potencjalnych wykonawców.</w:t>
      </w:r>
    </w:p>
    <w:p w14:paraId="4A7FA04E" w14:textId="77777777" w:rsidR="003961EC" w:rsidRPr="00527CBA" w:rsidRDefault="003961EC" w:rsidP="00555334">
      <w:pPr>
        <w:numPr>
          <w:ilvl w:val="0"/>
          <w:numId w:val="2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>Zapytanie ofertowe musi zawierać w szczególności:</w:t>
      </w:r>
    </w:p>
    <w:p w14:paraId="1D35B0C5" w14:textId="77777777" w:rsidR="003961EC" w:rsidRPr="00527CBA" w:rsidRDefault="003961EC" w:rsidP="00555334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opis przedmiotu zamówienia;</w:t>
      </w:r>
    </w:p>
    <w:p w14:paraId="2FCB46A4" w14:textId="77777777" w:rsidR="003961EC" w:rsidRPr="00527CBA" w:rsidRDefault="003961EC" w:rsidP="00555334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kryteria oceny oferty;</w:t>
      </w:r>
    </w:p>
    <w:p w14:paraId="2461C996" w14:textId="77777777" w:rsidR="003961EC" w:rsidRPr="00527CBA" w:rsidRDefault="003961EC" w:rsidP="00555334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informację na temat wag punktowych lub procentowych przypisanych do poszczególnych kryteriów oceny oferty;</w:t>
      </w:r>
    </w:p>
    <w:p w14:paraId="567F4852" w14:textId="77777777" w:rsidR="003961EC" w:rsidRPr="00527CBA" w:rsidRDefault="003961EC" w:rsidP="00555334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informację na temat sposobu przyznawania punktacji za spełnienie danego kryterium;</w:t>
      </w:r>
    </w:p>
    <w:p w14:paraId="6C0660E8" w14:textId="77777777" w:rsidR="003961EC" w:rsidRPr="00527CBA" w:rsidRDefault="003961EC" w:rsidP="00555334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informację na temat zakresu wykluczenia z możliwości realizacji zamówienia;</w:t>
      </w:r>
    </w:p>
    <w:p w14:paraId="4BC08C6E" w14:textId="77777777" w:rsidR="003961EC" w:rsidRPr="00527CBA" w:rsidRDefault="003961EC" w:rsidP="00555334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tryb składania ofert oraz powiadamiania oferentów o wynikach prowadzonego postępowania w sprawie zamówienia;</w:t>
      </w:r>
    </w:p>
    <w:p w14:paraId="34D84462" w14:textId="77777777" w:rsidR="003961EC" w:rsidRPr="00527CBA" w:rsidRDefault="003961EC" w:rsidP="00555334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termin składania ofert, przy czym termin ten nie może być krótszy niż 5 dni roboczych od dnia upublicznienia zapytania ofertowego (w przypadku ofert składanych drogą pocztową powinna decydować data stempla pocztowego).</w:t>
      </w:r>
    </w:p>
    <w:p w14:paraId="67C43712" w14:textId="77777777" w:rsidR="003961EC" w:rsidRPr="00527CBA" w:rsidRDefault="003961EC" w:rsidP="00555334">
      <w:pPr>
        <w:numPr>
          <w:ilvl w:val="0"/>
          <w:numId w:val="2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 xml:space="preserve">Dopuszcza się możliwość dzielenia zamówienia, tj. powierzenia wykonania danej usługi lub dostawy towarów kilku wykonawcom. Jeżeli suma części zamówienia przekracza kwotę określoną w ust. 2, </w:t>
      </w:r>
      <w:r w:rsidR="00911A73">
        <w:rPr>
          <w:rFonts w:cs="Times New Roman"/>
        </w:rPr>
        <w:t>Wnioskodawca</w:t>
      </w:r>
      <w:r w:rsidR="00911A73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>zobowiązany jest do stosowania zasady konkurencyjności oraz musi wskazać w zapytaniu ofertowym, że dotyczy ono realizacji częściowych zamówień przez wykonawców. W przypadku gdy możliwe jest składanie ofert częściowych postępowanie może zakończyć się wyborem kilku wykonawców.</w:t>
      </w:r>
    </w:p>
    <w:p w14:paraId="6D8194B6" w14:textId="77777777" w:rsidR="003961EC" w:rsidRPr="00527CBA" w:rsidRDefault="003961EC" w:rsidP="00555334">
      <w:pPr>
        <w:numPr>
          <w:ilvl w:val="0"/>
          <w:numId w:val="27"/>
        </w:numPr>
        <w:spacing w:before="120"/>
        <w:jc w:val="both"/>
        <w:rPr>
          <w:rFonts w:cs="Times New Roman"/>
        </w:rPr>
      </w:pPr>
      <w:r w:rsidRPr="00527CBA">
        <w:rPr>
          <w:rFonts w:cs="Times New Roman"/>
        </w:rPr>
        <w:t>Zamówienie nie może zostać udzielone podmiotom powią</w:t>
      </w:r>
      <w:r w:rsidR="00911A73">
        <w:rPr>
          <w:rFonts w:cs="Times New Roman"/>
        </w:rPr>
        <w:t>zanym osobowo lub kapitałowo z Wnioskodawcą</w:t>
      </w:r>
      <w:r w:rsidR="00911A73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 xml:space="preserve">lub osobami upoważnionymi do zaciągania zobowiązań w imieniu </w:t>
      </w:r>
      <w:r w:rsidR="00911A73">
        <w:rPr>
          <w:rFonts w:cs="Times New Roman"/>
        </w:rPr>
        <w:t xml:space="preserve">Wnioskodawcy </w:t>
      </w:r>
      <w:r w:rsidRPr="00527CBA">
        <w:rPr>
          <w:rFonts w:cs="Times New Roman"/>
        </w:rPr>
        <w:t xml:space="preserve">lub osobami wykonującymi w imieniu </w:t>
      </w:r>
      <w:r w:rsidR="00911A73">
        <w:rPr>
          <w:rFonts w:cs="Times New Roman"/>
        </w:rPr>
        <w:t>Wnioskodawcy</w:t>
      </w:r>
      <w:r w:rsidR="00911A73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>czynności związane z przygotowaniem i przeprowadzeniem procedury wyboru wykonawcy, w szczególności poprzez:</w:t>
      </w:r>
    </w:p>
    <w:p w14:paraId="1F330EE4" w14:textId="77777777" w:rsidR="003961EC" w:rsidRPr="00527CBA" w:rsidRDefault="003961EC" w:rsidP="00555334">
      <w:pPr>
        <w:numPr>
          <w:ilvl w:val="0"/>
          <w:numId w:val="24"/>
        </w:numPr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uczestnictwo w spółce jako wspólnik spółki cywilnej lub spółki osobowej;</w:t>
      </w:r>
    </w:p>
    <w:p w14:paraId="04CF1593" w14:textId="77777777" w:rsidR="003961EC" w:rsidRPr="00527CBA" w:rsidRDefault="003961EC" w:rsidP="00555334">
      <w:pPr>
        <w:numPr>
          <w:ilvl w:val="0"/>
          <w:numId w:val="24"/>
        </w:numPr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posiadanie udziałów lub co najmniej 10% akcji;</w:t>
      </w:r>
    </w:p>
    <w:p w14:paraId="177B6C97" w14:textId="77777777" w:rsidR="003961EC" w:rsidRPr="00527CBA" w:rsidRDefault="003961EC" w:rsidP="00555334">
      <w:pPr>
        <w:numPr>
          <w:ilvl w:val="0"/>
          <w:numId w:val="24"/>
        </w:numPr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pełnienie funkcji członka organu nadzorczego lub zarządzającego, prokurenta, pełnomocnika;</w:t>
      </w:r>
    </w:p>
    <w:p w14:paraId="75019B91" w14:textId="77777777" w:rsidR="003961EC" w:rsidRDefault="003961EC" w:rsidP="00555334">
      <w:pPr>
        <w:numPr>
          <w:ilvl w:val="0"/>
          <w:numId w:val="24"/>
        </w:numPr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pozostawanie w związku małżeńskim, w stosunku pokrewieństwa lub powinowactwa w linii prostej, pokrewieństwa lub powinowactwa w linii bocznej do drugiego stopnia lub w stosunku przysposobienia, opieki lub kurateli.</w:t>
      </w:r>
    </w:p>
    <w:p w14:paraId="59BA0B27" w14:textId="77777777" w:rsidR="003961EC" w:rsidRPr="00527CBA" w:rsidRDefault="003961EC" w:rsidP="00555334">
      <w:pPr>
        <w:numPr>
          <w:ilvl w:val="0"/>
          <w:numId w:val="27"/>
        </w:numPr>
        <w:spacing w:before="120"/>
        <w:ind w:left="341" w:hanging="454"/>
        <w:jc w:val="both"/>
        <w:rPr>
          <w:rFonts w:cs="Times New Roman"/>
        </w:rPr>
      </w:pPr>
      <w:r w:rsidRPr="00527CBA">
        <w:rPr>
          <w:rFonts w:cs="Times New Roman"/>
        </w:rPr>
        <w:t>Potencjalny wykonawca zobowiązany jest załączyć do oferty oświadczenie o braku powiązań kapitałowych lub osobowych, o których mowa w ust. 9. Postanowienia zawarte w ust. 9 nie mają zastosowania do zamówień dotyczących zadań wykonywanych przez personel projektu, z</w:t>
      </w:r>
      <w:r w:rsidR="004109CF">
        <w:rPr>
          <w:rFonts w:cs="Times New Roman"/>
        </w:rPr>
        <w:t> </w:t>
      </w:r>
      <w:r w:rsidRPr="00527CBA">
        <w:rPr>
          <w:rFonts w:cs="Times New Roman"/>
        </w:rPr>
        <w:t xml:space="preserve">którym </w:t>
      </w:r>
      <w:r w:rsidR="00964DA3">
        <w:rPr>
          <w:rFonts w:cs="Times New Roman"/>
        </w:rPr>
        <w:t>Wnioskodawca</w:t>
      </w:r>
      <w:r w:rsidRPr="00527CBA">
        <w:rPr>
          <w:rFonts w:cs="Times New Roman"/>
        </w:rPr>
        <w:t xml:space="preserve"> w okresie co najmniej jednego roku przed złożeniem wniosku współpracował w sposób ciągły lub powtarzalny.</w:t>
      </w:r>
    </w:p>
    <w:p w14:paraId="514AAC36" w14:textId="77777777" w:rsidR="003961EC" w:rsidRPr="00527CBA" w:rsidRDefault="003961EC" w:rsidP="00555334">
      <w:pPr>
        <w:numPr>
          <w:ilvl w:val="0"/>
          <w:numId w:val="27"/>
        </w:numPr>
        <w:spacing w:before="120"/>
        <w:ind w:left="341" w:hanging="454"/>
        <w:jc w:val="both"/>
        <w:rPr>
          <w:rFonts w:cs="Times New Roman"/>
        </w:rPr>
      </w:pPr>
      <w:r w:rsidRPr="00527CBA">
        <w:rPr>
          <w:rFonts w:cs="Times New Roman"/>
        </w:rPr>
        <w:t>Wybór najkorzystniejszej oferty dokonywany jest w oparciu o ustalone w zapytaniu ofertowym kryteria. Wybór oferty musi zostać udokumentowany protokołem, sporządzonym w formie pisemnej. Protokół jest dokumentem potwierdzającym prawidłowość wyboru wykonawcy zgodnie z zasadą konkurencyjności i musi zawierać co najmniej:</w:t>
      </w:r>
    </w:p>
    <w:p w14:paraId="38BD73AD" w14:textId="77777777" w:rsidR="003961EC" w:rsidRPr="00527CBA" w:rsidRDefault="003961EC" w:rsidP="00555334">
      <w:pPr>
        <w:numPr>
          <w:ilvl w:val="0"/>
          <w:numId w:val="25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lastRenderedPageBreak/>
        <w:t xml:space="preserve">informację do jakich co najmniej trzech potencjalnych wykonawców </w:t>
      </w:r>
      <w:r w:rsidR="00911A73">
        <w:rPr>
          <w:rFonts w:cs="Times New Roman"/>
        </w:rPr>
        <w:t>Wnioskodawca</w:t>
      </w:r>
      <w:r w:rsidR="00911A73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>wysłał zapytanie ofertowe lub informację o tym, że na rynku nie istnieje trzech potencjalnych wykonawców wraz z uzasadnieniem wskazującym na obiektywne przesłanki potwierdzające ten fakt;</w:t>
      </w:r>
    </w:p>
    <w:p w14:paraId="570B8871" w14:textId="77777777" w:rsidR="003961EC" w:rsidRPr="00527CBA" w:rsidRDefault="003961EC" w:rsidP="00555334">
      <w:pPr>
        <w:numPr>
          <w:ilvl w:val="0"/>
          <w:numId w:val="25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informację o sposobie upublicznienia zapytania ofertowego;</w:t>
      </w:r>
    </w:p>
    <w:p w14:paraId="707E33A9" w14:textId="77777777" w:rsidR="003961EC" w:rsidRPr="00527CBA" w:rsidRDefault="003961EC" w:rsidP="00555334">
      <w:pPr>
        <w:numPr>
          <w:ilvl w:val="0"/>
          <w:numId w:val="25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 xml:space="preserve">wykaz ofert, które wpłynęły do </w:t>
      </w:r>
      <w:r w:rsidR="00F82F87">
        <w:rPr>
          <w:rFonts w:cs="Times New Roman"/>
        </w:rPr>
        <w:t xml:space="preserve">Wnioskodawcy </w:t>
      </w:r>
      <w:r w:rsidRPr="00527CBA">
        <w:rPr>
          <w:rFonts w:cs="Times New Roman"/>
        </w:rPr>
        <w:t xml:space="preserve">w odpowiedzi na zapytanie ofertowe wraz ze wskazaniem daty wpływu oferty do </w:t>
      </w:r>
      <w:r w:rsidR="00F82F87">
        <w:rPr>
          <w:rFonts w:cs="Times New Roman"/>
        </w:rPr>
        <w:t xml:space="preserve">Wnioskodawcy </w:t>
      </w:r>
      <w:r w:rsidRPr="00527CBA">
        <w:rPr>
          <w:rFonts w:cs="Times New Roman"/>
        </w:rPr>
        <w:t>oraz z podaniem tych danych z ofert, które stanowią odpowiedź na kryteria oceny ofert;</w:t>
      </w:r>
    </w:p>
    <w:p w14:paraId="3490C7B7" w14:textId="77777777" w:rsidR="003961EC" w:rsidRPr="00527CBA" w:rsidRDefault="003961EC" w:rsidP="00555334">
      <w:pPr>
        <w:numPr>
          <w:ilvl w:val="0"/>
          <w:numId w:val="25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informację o wagach punktowych lub procentowych przypisanych do poszczególnych kryteriów oceny, sposobu przyznawania punktacji za spełnienie danego kryterium;</w:t>
      </w:r>
    </w:p>
    <w:p w14:paraId="314A91EC" w14:textId="77777777" w:rsidR="003961EC" w:rsidRPr="00527CBA" w:rsidRDefault="003961EC" w:rsidP="00555334">
      <w:pPr>
        <w:numPr>
          <w:ilvl w:val="0"/>
          <w:numId w:val="25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wskazanie wybranej oferty wraz z uzasadnieniem wyboru;</w:t>
      </w:r>
    </w:p>
    <w:p w14:paraId="14CCC76E" w14:textId="77777777" w:rsidR="003961EC" w:rsidRPr="00527CBA" w:rsidRDefault="003961EC" w:rsidP="00555334">
      <w:pPr>
        <w:numPr>
          <w:ilvl w:val="0"/>
          <w:numId w:val="25"/>
        </w:numPr>
        <w:tabs>
          <w:tab w:val="clear" w:pos="737"/>
        </w:tabs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 xml:space="preserve">datę sporządzenia protokołu i podpis </w:t>
      </w:r>
      <w:r w:rsidR="00F82F87">
        <w:rPr>
          <w:rFonts w:cs="Times New Roman"/>
        </w:rPr>
        <w:t xml:space="preserve">Wnioskodawcy </w:t>
      </w:r>
      <w:r w:rsidRPr="00527CBA">
        <w:rPr>
          <w:rFonts w:cs="Times New Roman"/>
        </w:rPr>
        <w:t xml:space="preserve">lub osoby upoważnionej przez </w:t>
      </w:r>
      <w:r w:rsidR="00F82F87">
        <w:rPr>
          <w:rFonts w:cs="Times New Roman"/>
        </w:rPr>
        <w:t xml:space="preserve">Wnioskodawcę </w:t>
      </w:r>
      <w:r w:rsidRPr="00527CBA">
        <w:rPr>
          <w:rFonts w:cs="Times New Roman"/>
        </w:rPr>
        <w:t>do podejmowania czynności w jego imieniu.</w:t>
      </w:r>
    </w:p>
    <w:p w14:paraId="0F0B7F63" w14:textId="77777777" w:rsidR="003961EC" w:rsidRPr="00527CBA" w:rsidRDefault="003961EC" w:rsidP="00555334">
      <w:pPr>
        <w:numPr>
          <w:ilvl w:val="0"/>
          <w:numId w:val="27"/>
        </w:numPr>
        <w:spacing w:before="120"/>
        <w:ind w:left="341" w:hanging="454"/>
        <w:jc w:val="both"/>
        <w:rPr>
          <w:rFonts w:cs="Times New Roman"/>
        </w:rPr>
      </w:pPr>
      <w:r w:rsidRPr="00527CBA">
        <w:rPr>
          <w:rFonts w:cs="Times New Roman"/>
        </w:rPr>
        <w:t xml:space="preserve">Do protokołu, o którym mowa w ust. 11, </w:t>
      </w:r>
      <w:r w:rsidR="00F82F87">
        <w:rPr>
          <w:rFonts w:cs="Times New Roman"/>
        </w:rPr>
        <w:t>Wnioskodawca</w:t>
      </w:r>
      <w:r w:rsidR="00F82F87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>załącza:</w:t>
      </w:r>
    </w:p>
    <w:p w14:paraId="4722A3D3" w14:textId="77777777" w:rsidR="003961EC" w:rsidRPr="00527CBA" w:rsidRDefault="003961EC" w:rsidP="00555334">
      <w:pPr>
        <w:numPr>
          <w:ilvl w:val="0"/>
          <w:numId w:val="26"/>
        </w:numPr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potwierdzenie udokumentowania publikacji zapytania na stronie internetowej;</w:t>
      </w:r>
    </w:p>
    <w:p w14:paraId="16F3AB99" w14:textId="77777777" w:rsidR="003961EC" w:rsidRPr="00527CBA" w:rsidRDefault="003961EC" w:rsidP="00555334">
      <w:pPr>
        <w:numPr>
          <w:ilvl w:val="0"/>
          <w:numId w:val="26"/>
        </w:numPr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>złożone oferty wraz z oświadczeniami wykonawców o braku powiązań kapitałowych lub osobowych;</w:t>
      </w:r>
    </w:p>
    <w:p w14:paraId="1D0ACD2C" w14:textId="77777777" w:rsidR="003961EC" w:rsidRPr="00527CBA" w:rsidRDefault="003961EC" w:rsidP="00555334">
      <w:pPr>
        <w:numPr>
          <w:ilvl w:val="0"/>
          <w:numId w:val="26"/>
        </w:numPr>
        <w:autoSpaceDE w:val="0"/>
        <w:autoSpaceDN w:val="0"/>
        <w:adjustRightInd w:val="0"/>
        <w:spacing w:before="60"/>
        <w:jc w:val="both"/>
        <w:rPr>
          <w:rFonts w:cs="Times New Roman"/>
        </w:rPr>
      </w:pPr>
      <w:r w:rsidRPr="00527CBA">
        <w:rPr>
          <w:rFonts w:cs="Times New Roman"/>
        </w:rPr>
        <w:t xml:space="preserve">oświadczenie/oświadczenia </w:t>
      </w:r>
      <w:r w:rsidR="00F82F87">
        <w:rPr>
          <w:rFonts w:cs="Times New Roman"/>
        </w:rPr>
        <w:t>Wnioskodawcy</w:t>
      </w:r>
      <w:r w:rsidR="00F82F87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 xml:space="preserve">o braku powiązań z wykonawcami, którzy złożyli oferty – podpisane przez </w:t>
      </w:r>
      <w:r w:rsidR="00F82F87">
        <w:rPr>
          <w:rFonts w:cs="Times New Roman"/>
        </w:rPr>
        <w:t>Wnioskodawcę</w:t>
      </w:r>
      <w:r w:rsidR="00F82F87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 xml:space="preserve">lub osoby upoważnione do zaciągania zobowiązań w imieniu </w:t>
      </w:r>
      <w:r w:rsidR="00F82F87">
        <w:rPr>
          <w:rFonts w:cs="Times New Roman"/>
        </w:rPr>
        <w:t xml:space="preserve">Wnioskodawcy </w:t>
      </w:r>
      <w:r w:rsidRPr="00527CBA">
        <w:rPr>
          <w:rFonts w:cs="Times New Roman"/>
        </w:rPr>
        <w:t xml:space="preserve">lub osoby wykonujące w imieniu </w:t>
      </w:r>
      <w:r w:rsidR="00F82F87">
        <w:rPr>
          <w:rFonts w:cs="Times New Roman"/>
        </w:rPr>
        <w:t xml:space="preserve">Wnioskodawcy </w:t>
      </w:r>
      <w:r w:rsidRPr="00527CBA">
        <w:rPr>
          <w:rFonts w:cs="Times New Roman"/>
        </w:rPr>
        <w:t>czynności związane z przygotowaniem i przeprowadzeniem procedury wyboru wykonawcy.</w:t>
      </w:r>
    </w:p>
    <w:p w14:paraId="426DDA7D" w14:textId="77777777" w:rsidR="003961EC" w:rsidRPr="00527CBA" w:rsidRDefault="003961EC" w:rsidP="00555334">
      <w:pPr>
        <w:numPr>
          <w:ilvl w:val="0"/>
          <w:numId w:val="27"/>
        </w:numPr>
        <w:spacing w:before="120"/>
        <w:ind w:left="341" w:hanging="454"/>
        <w:jc w:val="both"/>
        <w:rPr>
          <w:rFonts w:cs="Times New Roman"/>
        </w:rPr>
      </w:pPr>
      <w:r w:rsidRPr="00527CBA">
        <w:rPr>
          <w:rFonts w:cs="Times New Roman"/>
        </w:rPr>
        <w:t xml:space="preserve">Po zakończeniu postępowania </w:t>
      </w:r>
      <w:r w:rsidR="00F82F87">
        <w:rPr>
          <w:rFonts w:cs="Times New Roman"/>
        </w:rPr>
        <w:t>Wnioskodawca</w:t>
      </w:r>
      <w:r w:rsidR="00F82F87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 xml:space="preserve">bezzwłocznie informuje każdego wykonawcę, który złożył ofertę o wyniku postępowania. Jeżeli </w:t>
      </w:r>
      <w:r w:rsidR="00F82F87">
        <w:rPr>
          <w:rFonts w:cs="Times New Roman"/>
        </w:rPr>
        <w:t>Wnioskodawca</w:t>
      </w:r>
      <w:r w:rsidR="00F82F87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 xml:space="preserve">posiada stronę internetową – zobowiązany jest do zamieszczenia bezzwłocznie na stronie internetowej informacji dotyczących zakończonego postępowania (w tym o wyborze najkorzystniejszej oferty) oraz ogłoszenia o udzieleniu zamówienia. Z wybranym zgodnie z zasadą konkurencyjności wykonawcą (wykonawcami) </w:t>
      </w:r>
      <w:r w:rsidR="00183E81">
        <w:rPr>
          <w:rFonts w:cs="Times New Roman"/>
        </w:rPr>
        <w:t>Wnioskodawca</w:t>
      </w:r>
      <w:r w:rsidR="00183E81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>zawiera w formie pisemnej umowę o wykonanie zamówienia.</w:t>
      </w:r>
    </w:p>
    <w:p w14:paraId="0B63CE85" w14:textId="77777777" w:rsidR="003961EC" w:rsidRDefault="003961EC" w:rsidP="00555334">
      <w:pPr>
        <w:numPr>
          <w:ilvl w:val="0"/>
          <w:numId w:val="27"/>
        </w:numPr>
        <w:spacing w:before="120"/>
        <w:ind w:left="341" w:hanging="454"/>
        <w:jc w:val="both"/>
        <w:rPr>
          <w:rFonts w:cs="Times New Roman"/>
        </w:rPr>
      </w:pPr>
      <w:r w:rsidRPr="00527CBA">
        <w:rPr>
          <w:rFonts w:cs="Times New Roman"/>
        </w:rPr>
        <w:t xml:space="preserve">Zasadę konkurencyjności uważa się za spełnioną w przypadku gdy </w:t>
      </w:r>
      <w:r w:rsidR="00183E81">
        <w:rPr>
          <w:rFonts w:cs="Times New Roman"/>
        </w:rPr>
        <w:t>Wnioskodawca</w:t>
      </w:r>
      <w:r w:rsidR="00183E81" w:rsidRPr="00527CBA">
        <w:rPr>
          <w:rFonts w:cs="Times New Roman"/>
        </w:rPr>
        <w:t xml:space="preserve"> </w:t>
      </w:r>
      <w:r w:rsidRPr="00527CBA">
        <w:rPr>
          <w:rFonts w:cs="Times New Roman"/>
        </w:rPr>
        <w:t>pomimo wysłania zapytania ofertowego do trzech potencjalnych wykonawców i upublicznienia zapytania ofertowego otrzymał tylko jedną ważną ofertę.</w:t>
      </w:r>
    </w:p>
    <w:p w14:paraId="0EF68761" w14:textId="77777777" w:rsidR="00A95F47" w:rsidRPr="00023A0F" w:rsidRDefault="00A95F47" w:rsidP="00A95F47">
      <w:pPr>
        <w:pStyle w:val="NormalnyWeb"/>
        <w:spacing w:before="480" w:beforeAutospacing="0" w:after="240" w:afterAutospacing="0"/>
        <w:ind w:left="624" w:hanging="624"/>
        <w:jc w:val="both"/>
        <w:rPr>
          <w:b/>
          <w:bCs/>
          <w:sz w:val="32"/>
          <w:szCs w:val="32"/>
        </w:rPr>
      </w:pPr>
      <w:r w:rsidRPr="00023A0F">
        <w:rPr>
          <w:b/>
          <w:bCs/>
          <w:sz w:val="32"/>
          <w:szCs w:val="32"/>
        </w:rPr>
        <w:t>Załączniki</w:t>
      </w:r>
    </w:p>
    <w:p w14:paraId="22B45D85" w14:textId="77777777" w:rsidR="00A95F47" w:rsidRDefault="00A95F47" w:rsidP="00555334">
      <w:pPr>
        <w:numPr>
          <w:ilvl w:val="0"/>
          <w:numId w:val="54"/>
        </w:numPr>
        <w:jc w:val="both"/>
        <w:rPr>
          <w:rFonts w:cs="Times New Roman"/>
        </w:rPr>
      </w:pPr>
      <w:bookmarkStart w:id="15" w:name="_Hlk8921102"/>
      <w:r w:rsidRPr="00023A0F">
        <w:rPr>
          <w:rFonts w:cs="Times New Roman"/>
        </w:rPr>
        <w:t xml:space="preserve">Załącznik nr </w:t>
      </w:r>
      <w:r w:rsidR="00322F30" w:rsidRPr="00023A0F">
        <w:rPr>
          <w:rFonts w:cs="Times New Roman"/>
        </w:rPr>
        <w:t>1</w:t>
      </w:r>
      <w:r w:rsidRPr="00023A0F">
        <w:rPr>
          <w:rFonts w:cs="Times New Roman"/>
        </w:rPr>
        <w:t xml:space="preserve">: </w:t>
      </w:r>
      <w:bookmarkStart w:id="16" w:name="_Hlk8921071"/>
      <w:r w:rsidR="0024223A">
        <w:rPr>
          <w:rFonts w:cs="Times New Roman"/>
        </w:rPr>
        <w:t>Formularz w</w:t>
      </w:r>
      <w:r w:rsidRPr="00023A0F">
        <w:rPr>
          <w:rFonts w:cs="Times New Roman"/>
        </w:rPr>
        <w:t>niosk</w:t>
      </w:r>
      <w:r w:rsidR="0024223A">
        <w:rPr>
          <w:rFonts w:cs="Times New Roman"/>
        </w:rPr>
        <w:t>u</w:t>
      </w:r>
      <w:r w:rsidRPr="00023A0F">
        <w:rPr>
          <w:rFonts w:cs="Times New Roman"/>
        </w:rPr>
        <w:t xml:space="preserve"> </w:t>
      </w:r>
      <w:bookmarkEnd w:id="16"/>
      <w:r w:rsidRPr="00023A0F">
        <w:rPr>
          <w:rFonts w:cs="Times New Roman"/>
        </w:rPr>
        <w:t xml:space="preserve">o dofinansowanie w ramach </w:t>
      </w:r>
      <w:r w:rsidR="003F4AE9">
        <w:rPr>
          <w:rFonts w:cs="Times New Roman"/>
        </w:rPr>
        <w:t>modułu I „Instytucje”</w:t>
      </w:r>
      <w:r w:rsidRPr="00023A0F">
        <w:rPr>
          <w:rFonts w:cs="Times New Roman"/>
        </w:rPr>
        <w:t>.</w:t>
      </w:r>
    </w:p>
    <w:p w14:paraId="7C748384" w14:textId="77777777" w:rsidR="003F4AE9" w:rsidRDefault="003F4AE9" w:rsidP="00555334">
      <w:pPr>
        <w:numPr>
          <w:ilvl w:val="0"/>
          <w:numId w:val="54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Załącznik nr 2: </w:t>
      </w:r>
      <w:r w:rsidR="0024223A">
        <w:rPr>
          <w:rFonts w:cs="Times New Roman"/>
        </w:rPr>
        <w:t>Formularz w</w:t>
      </w:r>
      <w:r w:rsidRPr="003F4AE9">
        <w:rPr>
          <w:rFonts w:cs="Times New Roman"/>
        </w:rPr>
        <w:t>niosk</w:t>
      </w:r>
      <w:r w:rsidR="0024223A">
        <w:rPr>
          <w:rFonts w:cs="Times New Roman"/>
        </w:rPr>
        <w:t>u</w:t>
      </w:r>
      <w:r w:rsidRPr="003F4AE9">
        <w:rPr>
          <w:rFonts w:cs="Times New Roman"/>
        </w:rPr>
        <w:t xml:space="preserve"> o dofinansowanie w ramach modułu I</w:t>
      </w:r>
      <w:r>
        <w:rPr>
          <w:rFonts w:cs="Times New Roman"/>
        </w:rPr>
        <w:t>I</w:t>
      </w:r>
      <w:r w:rsidRPr="003F4AE9">
        <w:rPr>
          <w:rFonts w:cs="Times New Roman"/>
        </w:rPr>
        <w:t xml:space="preserve"> „</w:t>
      </w:r>
      <w:r>
        <w:rPr>
          <w:rFonts w:cs="Times New Roman"/>
        </w:rPr>
        <w:t>Staże zawodowe</w:t>
      </w:r>
      <w:r w:rsidRPr="003F4AE9">
        <w:rPr>
          <w:rFonts w:cs="Times New Roman"/>
        </w:rPr>
        <w:t>”</w:t>
      </w:r>
      <w:r>
        <w:rPr>
          <w:rFonts w:cs="Times New Roman"/>
        </w:rPr>
        <w:t>.</w:t>
      </w:r>
    </w:p>
    <w:p w14:paraId="1CE654BE" w14:textId="77777777" w:rsidR="00A95F47" w:rsidRDefault="00A95F47" w:rsidP="00555334">
      <w:pPr>
        <w:numPr>
          <w:ilvl w:val="0"/>
          <w:numId w:val="54"/>
        </w:numPr>
        <w:spacing w:before="120"/>
        <w:jc w:val="both"/>
        <w:rPr>
          <w:rFonts w:cs="Times New Roman"/>
        </w:rPr>
      </w:pPr>
      <w:r w:rsidRPr="00023A0F">
        <w:rPr>
          <w:rFonts w:cs="Times New Roman"/>
        </w:rPr>
        <w:t xml:space="preserve">Załącznik nr </w:t>
      </w:r>
      <w:r w:rsidR="002D6AE8">
        <w:rPr>
          <w:rFonts w:cs="Times New Roman"/>
        </w:rPr>
        <w:t>3</w:t>
      </w:r>
      <w:r w:rsidRPr="00023A0F">
        <w:rPr>
          <w:rFonts w:cs="Times New Roman"/>
        </w:rPr>
        <w:t xml:space="preserve">: </w:t>
      </w:r>
      <w:r w:rsidR="00B40CE3" w:rsidRPr="00023A0F">
        <w:rPr>
          <w:rFonts w:cs="Times New Roman"/>
        </w:rPr>
        <w:t xml:space="preserve">Wzór umowy o dofinansowanie w ramach </w:t>
      </w:r>
      <w:r w:rsidR="003F4AE9">
        <w:rPr>
          <w:rFonts w:cs="Times New Roman"/>
        </w:rPr>
        <w:t>modułu I „Instytucje”</w:t>
      </w:r>
      <w:r w:rsidRPr="00023A0F">
        <w:rPr>
          <w:rFonts w:cs="Times New Roman"/>
        </w:rPr>
        <w:t>.</w:t>
      </w:r>
    </w:p>
    <w:p w14:paraId="4B4DC52E" w14:textId="77777777" w:rsidR="003F4AE9" w:rsidRPr="003F4AE9" w:rsidRDefault="003F4AE9" w:rsidP="00555334">
      <w:pPr>
        <w:numPr>
          <w:ilvl w:val="0"/>
          <w:numId w:val="54"/>
        </w:numPr>
        <w:spacing w:before="120"/>
        <w:jc w:val="both"/>
        <w:rPr>
          <w:rFonts w:cs="Times New Roman"/>
        </w:rPr>
      </w:pPr>
      <w:r w:rsidRPr="003F4AE9">
        <w:rPr>
          <w:rFonts w:cs="Times New Roman"/>
        </w:rPr>
        <w:t xml:space="preserve">Załącznik nr </w:t>
      </w:r>
      <w:r w:rsidR="002D6AE8">
        <w:rPr>
          <w:rFonts w:cs="Times New Roman"/>
        </w:rPr>
        <w:t>4</w:t>
      </w:r>
      <w:r w:rsidRPr="003F4AE9">
        <w:rPr>
          <w:rFonts w:cs="Times New Roman"/>
        </w:rPr>
        <w:t>: Wzór umowy o dofinansowanie w ramach modułu I</w:t>
      </w:r>
      <w:r>
        <w:rPr>
          <w:rFonts w:cs="Times New Roman"/>
        </w:rPr>
        <w:t>I</w:t>
      </w:r>
      <w:r w:rsidRPr="003F4AE9">
        <w:rPr>
          <w:rFonts w:cs="Times New Roman"/>
        </w:rPr>
        <w:t xml:space="preserve"> „</w:t>
      </w:r>
      <w:r w:rsidR="008D0547">
        <w:rPr>
          <w:rFonts w:cs="Times New Roman"/>
        </w:rPr>
        <w:t>Staże zawodowe</w:t>
      </w:r>
      <w:r w:rsidRPr="003F4AE9">
        <w:rPr>
          <w:rFonts w:cs="Times New Roman"/>
        </w:rPr>
        <w:t>”.</w:t>
      </w:r>
    </w:p>
    <w:p w14:paraId="01924C7B" w14:textId="77777777" w:rsidR="008D0547" w:rsidRPr="003F4AE9" w:rsidRDefault="002D6AE8" w:rsidP="00555334">
      <w:pPr>
        <w:numPr>
          <w:ilvl w:val="0"/>
          <w:numId w:val="54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>Załącznik nr 5</w:t>
      </w:r>
      <w:r w:rsidR="008D0547" w:rsidRPr="003F4AE9">
        <w:rPr>
          <w:rFonts w:cs="Times New Roman"/>
        </w:rPr>
        <w:t>: Wzór umowy o dofinansowanie w ramach modułu I</w:t>
      </w:r>
      <w:r w:rsidR="008D0547">
        <w:rPr>
          <w:rFonts w:cs="Times New Roman"/>
        </w:rPr>
        <w:t>I</w:t>
      </w:r>
      <w:r w:rsidR="008D0547" w:rsidRPr="003F4AE9">
        <w:rPr>
          <w:rFonts w:cs="Times New Roman"/>
        </w:rPr>
        <w:t xml:space="preserve"> „</w:t>
      </w:r>
      <w:r w:rsidR="008D0547">
        <w:rPr>
          <w:rFonts w:cs="Times New Roman"/>
        </w:rPr>
        <w:t>Staże zawodowe” (wniosek wspólny).</w:t>
      </w:r>
    </w:p>
    <w:p w14:paraId="648CCB32" w14:textId="77777777" w:rsidR="006F377E" w:rsidRDefault="002D6AE8" w:rsidP="00555334">
      <w:pPr>
        <w:numPr>
          <w:ilvl w:val="0"/>
          <w:numId w:val="54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>Załącznik nr 6</w:t>
      </w:r>
      <w:r w:rsidR="006F377E">
        <w:rPr>
          <w:rFonts w:cs="Times New Roman"/>
        </w:rPr>
        <w:t xml:space="preserve">: Wytyczne w zakresie organizacji </w:t>
      </w:r>
      <w:r w:rsidR="00CF19CA">
        <w:rPr>
          <w:rFonts w:cs="Times New Roman"/>
        </w:rPr>
        <w:t xml:space="preserve">staży zawodowych w ramach </w:t>
      </w:r>
      <w:r w:rsidR="004834CE">
        <w:rPr>
          <w:rFonts w:cs="Times New Roman"/>
        </w:rPr>
        <w:t>modułu II „Staże zawodowe”</w:t>
      </w:r>
      <w:r w:rsidR="00CF19CA">
        <w:rPr>
          <w:rFonts w:cs="Times New Roman"/>
        </w:rPr>
        <w:t>.</w:t>
      </w:r>
    </w:p>
    <w:p w14:paraId="085C2612" w14:textId="77777777" w:rsidR="007E2A67" w:rsidRPr="009D13C2" w:rsidRDefault="00A95F47" w:rsidP="00555334">
      <w:pPr>
        <w:numPr>
          <w:ilvl w:val="0"/>
          <w:numId w:val="54"/>
        </w:numPr>
        <w:spacing w:before="120"/>
        <w:jc w:val="both"/>
        <w:rPr>
          <w:rFonts w:cs="Times New Roman"/>
        </w:rPr>
      </w:pPr>
      <w:r w:rsidRPr="00023A0F">
        <w:rPr>
          <w:rFonts w:cs="Times New Roman"/>
        </w:rPr>
        <w:t xml:space="preserve">Załącznik nr </w:t>
      </w:r>
      <w:r w:rsidR="002D6AE8">
        <w:rPr>
          <w:rFonts w:cs="Times New Roman"/>
        </w:rPr>
        <w:t>7</w:t>
      </w:r>
      <w:r w:rsidRPr="00023A0F">
        <w:rPr>
          <w:rFonts w:cs="Times New Roman"/>
        </w:rPr>
        <w:t>:</w:t>
      </w:r>
      <w:r w:rsidR="00B40CE3" w:rsidRPr="00023A0F">
        <w:rPr>
          <w:rFonts w:cs="Times New Roman"/>
        </w:rPr>
        <w:t xml:space="preserve"> Instrukcja rozpatrywania, monitorowania </w:t>
      </w:r>
      <w:r w:rsidR="008B15BD">
        <w:rPr>
          <w:rFonts w:cs="Times New Roman"/>
        </w:rPr>
        <w:t>oraz ewaluacji wniosków złożonych w </w:t>
      </w:r>
      <w:r w:rsidR="00B40CE3" w:rsidRPr="00023A0F">
        <w:rPr>
          <w:rFonts w:cs="Times New Roman"/>
        </w:rPr>
        <w:t>ramach programu</w:t>
      </w:r>
      <w:r w:rsidRPr="00023A0F">
        <w:rPr>
          <w:rFonts w:cs="Times New Roman"/>
        </w:rPr>
        <w:t>.</w:t>
      </w:r>
      <w:bookmarkEnd w:id="15"/>
    </w:p>
    <w:sectPr w:rsidR="007E2A67" w:rsidRPr="009D13C2" w:rsidSect="00910C74">
      <w:headerReference w:type="default" r:id="rId8"/>
      <w:footerReference w:type="even" r:id="rId9"/>
      <w:footerReference w:type="default" r:id="rId10"/>
      <w:pgSz w:w="11907" w:h="16840" w:code="9"/>
      <w:pgMar w:top="1134" w:right="1134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3BA5" w14:textId="77777777" w:rsidR="006F1CD1" w:rsidRDefault="006F1CD1">
      <w:r>
        <w:separator/>
      </w:r>
    </w:p>
  </w:endnote>
  <w:endnote w:type="continuationSeparator" w:id="0">
    <w:p w14:paraId="6F47B714" w14:textId="77777777" w:rsidR="006F1CD1" w:rsidRDefault="006F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0AD1" w14:textId="77777777" w:rsidR="004F1A9A" w:rsidRDefault="004F1A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67DE54" w14:textId="77777777" w:rsidR="004F1A9A" w:rsidRDefault="004F1A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041995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7B629D3D" w14:textId="0A128AB0" w:rsidR="004F1A9A" w:rsidRPr="00806708" w:rsidRDefault="004F1A9A" w:rsidP="00455966">
        <w:pPr>
          <w:pStyle w:val="Stopka"/>
          <w:jc w:val="right"/>
          <w:rPr>
            <w:szCs w:val="24"/>
          </w:rPr>
        </w:pPr>
        <w:r w:rsidRPr="00806708">
          <w:rPr>
            <w:szCs w:val="24"/>
          </w:rPr>
          <w:fldChar w:fldCharType="begin"/>
        </w:r>
        <w:r w:rsidRPr="00806708">
          <w:rPr>
            <w:szCs w:val="24"/>
          </w:rPr>
          <w:instrText>PAGE   \* MERGEFORMAT</w:instrText>
        </w:r>
        <w:r w:rsidRPr="00806708">
          <w:rPr>
            <w:szCs w:val="24"/>
          </w:rPr>
          <w:fldChar w:fldCharType="separate"/>
        </w:r>
        <w:r w:rsidRPr="00806708">
          <w:rPr>
            <w:szCs w:val="24"/>
          </w:rPr>
          <w:t>2</w:t>
        </w:r>
        <w:r w:rsidRPr="00806708">
          <w:rPr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32EAA" w14:textId="77777777" w:rsidR="006F1CD1" w:rsidRDefault="006F1CD1">
      <w:r>
        <w:separator/>
      </w:r>
    </w:p>
  </w:footnote>
  <w:footnote w:type="continuationSeparator" w:id="0">
    <w:p w14:paraId="20B0BDBC" w14:textId="77777777" w:rsidR="006F1CD1" w:rsidRDefault="006F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67892" w14:textId="77777777" w:rsidR="004F1A9A" w:rsidRPr="00B36169" w:rsidRDefault="004F1A9A" w:rsidP="00DA5A43">
    <w:pPr>
      <w:pStyle w:val="Nagwek"/>
      <w:jc w:val="center"/>
      <w:rPr>
        <w:rFonts w:cs="Times New Roman"/>
        <w:i/>
        <w:sz w:val="20"/>
        <w:szCs w:val="20"/>
      </w:rPr>
    </w:pPr>
    <w:r w:rsidRPr="00B36169">
      <w:rPr>
        <w:rFonts w:cs="Times New Roman"/>
        <w:i/>
        <w:sz w:val="20"/>
        <w:szCs w:val="20"/>
      </w:rPr>
      <w:t>Procedury realizacji programu „STABILNE ZATRUDNIENIE”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8"/>
    <w:multiLevelType w:val="multilevel"/>
    <w:tmpl w:val="EFE0F68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" w15:restartNumberingAfterBreak="0">
    <w:nsid w:val="0000000D"/>
    <w:multiLevelType w:val="multilevel"/>
    <w:tmpl w:val="0000000D"/>
    <w:name w:val="WW8Num53"/>
    <w:lvl w:ilvl="0">
      <w:start w:val="3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  <w:rPr>
        <w:rFonts w:ascii="Arial" w:hAnsi="Arial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3" w15:restartNumberingAfterBreak="0">
    <w:nsid w:val="029C3F6C"/>
    <w:multiLevelType w:val="hybridMultilevel"/>
    <w:tmpl w:val="0396F9B6"/>
    <w:lvl w:ilvl="0" w:tplc="B678BD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B21CF1"/>
    <w:multiLevelType w:val="hybridMultilevel"/>
    <w:tmpl w:val="DAA23376"/>
    <w:lvl w:ilvl="0" w:tplc="8FC4CDA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4043CFD"/>
    <w:multiLevelType w:val="hybridMultilevel"/>
    <w:tmpl w:val="B95471EA"/>
    <w:lvl w:ilvl="0" w:tplc="197AA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D13341"/>
    <w:multiLevelType w:val="hybridMultilevel"/>
    <w:tmpl w:val="0DAE3E48"/>
    <w:lvl w:ilvl="0" w:tplc="BA5CE5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C21F4"/>
    <w:multiLevelType w:val="hybridMultilevel"/>
    <w:tmpl w:val="974A64E4"/>
    <w:lvl w:ilvl="0" w:tplc="64383D6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4DD0A794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 w:tplc="D3365044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3" w:tplc="771C0A46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37308B"/>
    <w:multiLevelType w:val="hybridMultilevel"/>
    <w:tmpl w:val="D52467E4"/>
    <w:lvl w:ilvl="0" w:tplc="AC48EC7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424242AA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0DB2C5F4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3" w:tplc="273A6730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234BE"/>
    <w:multiLevelType w:val="hybridMultilevel"/>
    <w:tmpl w:val="8314FA9A"/>
    <w:lvl w:ilvl="0" w:tplc="96D4D8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C1934"/>
    <w:multiLevelType w:val="hybridMultilevel"/>
    <w:tmpl w:val="AD3A0BCA"/>
    <w:lvl w:ilvl="0" w:tplc="CBDE8D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B66B4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1E2DEB"/>
    <w:multiLevelType w:val="hybridMultilevel"/>
    <w:tmpl w:val="583C74AE"/>
    <w:lvl w:ilvl="0" w:tplc="AE7C52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21429"/>
    <w:multiLevelType w:val="hybridMultilevel"/>
    <w:tmpl w:val="89E6CF5C"/>
    <w:lvl w:ilvl="0" w:tplc="B5028B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04C48"/>
    <w:multiLevelType w:val="hybridMultilevel"/>
    <w:tmpl w:val="715E9F7A"/>
    <w:lvl w:ilvl="0" w:tplc="C0344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F007C"/>
    <w:multiLevelType w:val="hybridMultilevel"/>
    <w:tmpl w:val="73D63664"/>
    <w:lvl w:ilvl="0" w:tplc="D13EB3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A0AB4"/>
    <w:multiLevelType w:val="hybridMultilevel"/>
    <w:tmpl w:val="2E48C91E"/>
    <w:lvl w:ilvl="0" w:tplc="6854B5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C3A6B"/>
    <w:multiLevelType w:val="hybridMultilevel"/>
    <w:tmpl w:val="AAA89C1A"/>
    <w:lvl w:ilvl="0" w:tplc="0FA6C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D2587"/>
    <w:multiLevelType w:val="hybridMultilevel"/>
    <w:tmpl w:val="BBC2952C"/>
    <w:lvl w:ilvl="0" w:tplc="5E208A5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9B778F"/>
    <w:multiLevelType w:val="hybridMultilevel"/>
    <w:tmpl w:val="29061284"/>
    <w:lvl w:ilvl="0" w:tplc="56AC9B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133917"/>
    <w:multiLevelType w:val="hybridMultilevel"/>
    <w:tmpl w:val="40D0EE02"/>
    <w:lvl w:ilvl="0" w:tplc="7C4CDB3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E91EF4"/>
    <w:multiLevelType w:val="hybridMultilevel"/>
    <w:tmpl w:val="7EFC2E76"/>
    <w:lvl w:ilvl="0" w:tplc="A7B0B8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D7B1A"/>
    <w:multiLevelType w:val="hybridMultilevel"/>
    <w:tmpl w:val="2E6C6FFA"/>
    <w:lvl w:ilvl="0" w:tplc="1584B5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FA62C1"/>
    <w:multiLevelType w:val="hybridMultilevel"/>
    <w:tmpl w:val="8C48324E"/>
    <w:lvl w:ilvl="0" w:tplc="C0344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65DC9"/>
    <w:multiLevelType w:val="hybridMultilevel"/>
    <w:tmpl w:val="664CE18A"/>
    <w:lvl w:ilvl="0" w:tplc="671AC3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3BA234A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2" w:tplc="EDB4DB0E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3" w:tplc="7414A5C0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5DEA7104">
      <w:start w:val="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6E026B"/>
    <w:multiLevelType w:val="hybridMultilevel"/>
    <w:tmpl w:val="FDD0A6FC"/>
    <w:lvl w:ilvl="0" w:tplc="A980FC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661E96"/>
    <w:multiLevelType w:val="hybridMultilevel"/>
    <w:tmpl w:val="4DF291A4"/>
    <w:lvl w:ilvl="0" w:tplc="C0344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D34468"/>
    <w:multiLevelType w:val="hybridMultilevel"/>
    <w:tmpl w:val="974CCE0E"/>
    <w:lvl w:ilvl="0" w:tplc="FA50889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C63215DA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4B341B"/>
    <w:multiLevelType w:val="hybridMultilevel"/>
    <w:tmpl w:val="041E41C8"/>
    <w:lvl w:ilvl="0" w:tplc="90ACC2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66014A"/>
    <w:multiLevelType w:val="hybridMultilevel"/>
    <w:tmpl w:val="489882A6"/>
    <w:lvl w:ilvl="0" w:tplc="C0344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F26DB"/>
    <w:multiLevelType w:val="hybridMultilevel"/>
    <w:tmpl w:val="94E81364"/>
    <w:lvl w:ilvl="0" w:tplc="D86C4D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046F18"/>
    <w:multiLevelType w:val="hybridMultilevel"/>
    <w:tmpl w:val="6CCC5C0C"/>
    <w:lvl w:ilvl="0" w:tplc="C0344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0C025A"/>
    <w:multiLevelType w:val="hybridMultilevel"/>
    <w:tmpl w:val="D77C5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C1204"/>
    <w:multiLevelType w:val="hybridMultilevel"/>
    <w:tmpl w:val="EB46A0A8"/>
    <w:lvl w:ilvl="0" w:tplc="2BC221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3B7E69"/>
    <w:multiLevelType w:val="hybridMultilevel"/>
    <w:tmpl w:val="337EE92A"/>
    <w:lvl w:ilvl="0" w:tplc="0B484D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E16A1"/>
    <w:multiLevelType w:val="hybridMultilevel"/>
    <w:tmpl w:val="4A447396"/>
    <w:lvl w:ilvl="0" w:tplc="C6880BBA">
      <w:start w:val="1"/>
      <w:numFmt w:val="decimal"/>
      <w:lvlText w:val="%1)"/>
      <w:lvlJc w:val="left"/>
      <w:pPr>
        <w:ind w:left="70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5" w15:restartNumberingAfterBreak="0">
    <w:nsid w:val="48FA6FD0"/>
    <w:multiLevelType w:val="hybridMultilevel"/>
    <w:tmpl w:val="95BA7A00"/>
    <w:lvl w:ilvl="0" w:tplc="11FC42DE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94E7ACF"/>
    <w:multiLevelType w:val="hybridMultilevel"/>
    <w:tmpl w:val="7AAEC7E2"/>
    <w:lvl w:ilvl="0" w:tplc="32400F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7F63C7"/>
    <w:multiLevelType w:val="hybridMultilevel"/>
    <w:tmpl w:val="FD4C06AA"/>
    <w:lvl w:ilvl="0" w:tplc="2EE440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954C7"/>
    <w:multiLevelType w:val="hybridMultilevel"/>
    <w:tmpl w:val="D6620906"/>
    <w:lvl w:ilvl="0" w:tplc="A264663E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7E46EA2A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4C146627"/>
    <w:multiLevelType w:val="hybridMultilevel"/>
    <w:tmpl w:val="B0D8F23A"/>
    <w:lvl w:ilvl="0" w:tplc="996089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74720"/>
    <w:multiLevelType w:val="hybridMultilevel"/>
    <w:tmpl w:val="95F2F7AC"/>
    <w:lvl w:ilvl="0" w:tplc="4330DE6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2B1D5F"/>
    <w:multiLevelType w:val="hybridMultilevel"/>
    <w:tmpl w:val="57F601FE"/>
    <w:lvl w:ilvl="0" w:tplc="E3B2AFF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F6C2753"/>
    <w:multiLevelType w:val="hybridMultilevel"/>
    <w:tmpl w:val="A0567F00"/>
    <w:lvl w:ilvl="0" w:tplc="D8DE76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8B40B3"/>
    <w:multiLevelType w:val="hybridMultilevel"/>
    <w:tmpl w:val="1E2AA788"/>
    <w:lvl w:ilvl="0" w:tplc="30BCF23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63CE440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6E540B3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7578E92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3003ED"/>
    <w:multiLevelType w:val="hybridMultilevel"/>
    <w:tmpl w:val="4FE8D094"/>
    <w:lvl w:ilvl="0" w:tplc="EC0625E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E8545B20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B90EC44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A25743B"/>
    <w:multiLevelType w:val="hybridMultilevel"/>
    <w:tmpl w:val="B0240768"/>
    <w:lvl w:ilvl="0" w:tplc="47944F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9B4899"/>
    <w:multiLevelType w:val="hybridMultilevel"/>
    <w:tmpl w:val="24D428A0"/>
    <w:lvl w:ilvl="0" w:tplc="9A007FF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EF76F7A"/>
    <w:multiLevelType w:val="hybridMultilevel"/>
    <w:tmpl w:val="793C9042"/>
    <w:lvl w:ilvl="0" w:tplc="827091E4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914F3"/>
    <w:multiLevelType w:val="hybridMultilevel"/>
    <w:tmpl w:val="A5B83014"/>
    <w:lvl w:ilvl="0" w:tplc="7EAAD1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EE743A"/>
    <w:multiLevelType w:val="hybridMultilevel"/>
    <w:tmpl w:val="B3CAF9D2"/>
    <w:lvl w:ilvl="0" w:tplc="6D4A12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ED1B1D"/>
    <w:multiLevelType w:val="hybridMultilevel"/>
    <w:tmpl w:val="C8BA290C"/>
    <w:lvl w:ilvl="0" w:tplc="D13EB3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E8534B"/>
    <w:multiLevelType w:val="hybridMultilevel"/>
    <w:tmpl w:val="FC5A9076"/>
    <w:lvl w:ilvl="0" w:tplc="D088A7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4A1FBC"/>
    <w:multiLevelType w:val="hybridMultilevel"/>
    <w:tmpl w:val="47AE6844"/>
    <w:lvl w:ilvl="0" w:tplc="56D6A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7E5AF8"/>
    <w:multiLevelType w:val="hybridMultilevel"/>
    <w:tmpl w:val="E4F62FCA"/>
    <w:lvl w:ilvl="0" w:tplc="7BAAA2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EA45FF"/>
    <w:multiLevelType w:val="hybridMultilevel"/>
    <w:tmpl w:val="768C5FA6"/>
    <w:lvl w:ilvl="0" w:tplc="083A192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0F6A46"/>
    <w:multiLevelType w:val="hybridMultilevel"/>
    <w:tmpl w:val="A11E76A8"/>
    <w:lvl w:ilvl="0" w:tplc="11FC42DE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F8644D0"/>
    <w:multiLevelType w:val="hybridMultilevel"/>
    <w:tmpl w:val="66E61654"/>
    <w:lvl w:ilvl="0" w:tplc="A980FC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2E6F40"/>
    <w:multiLevelType w:val="hybridMultilevel"/>
    <w:tmpl w:val="36B66258"/>
    <w:lvl w:ilvl="0" w:tplc="05A4BC5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1C359E"/>
    <w:multiLevelType w:val="singleLevel"/>
    <w:tmpl w:val="C562F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9" w15:restartNumberingAfterBreak="0">
    <w:nsid w:val="7C331327"/>
    <w:multiLevelType w:val="hybridMultilevel"/>
    <w:tmpl w:val="B860C102"/>
    <w:lvl w:ilvl="0" w:tplc="14EAD2B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7"/>
  </w:num>
  <w:num w:numId="4">
    <w:abstractNumId w:val="52"/>
  </w:num>
  <w:num w:numId="5">
    <w:abstractNumId w:val="43"/>
  </w:num>
  <w:num w:numId="6">
    <w:abstractNumId w:val="8"/>
  </w:num>
  <w:num w:numId="7">
    <w:abstractNumId w:val="38"/>
  </w:num>
  <w:num w:numId="8">
    <w:abstractNumId w:val="44"/>
  </w:num>
  <w:num w:numId="9">
    <w:abstractNumId w:val="54"/>
  </w:num>
  <w:num w:numId="10">
    <w:abstractNumId w:val="26"/>
  </w:num>
  <w:num w:numId="11">
    <w:abstractNumId w:val="7"/>
  </w:num>
  <w:num w:numId="12">
    <w:abstractNumId w:val="46"/>
  </w:num>
  <w:num w:numId="13">
    <w:abstractNumId w:val="57"/>
  </w:num>
  <w:num w:numId="14">
    <w:abstractNumId w:val="58"/>
  </w:num>
  <w:num w:numId="15">
    <w:abstractNumId w:val="21"/>
  </w:num>
  <w:num w:numId="16">
    <w:abstractNumId w:val="32"/>
  </w:num>
  <w:num w:numId="17">
    <w:abstractNumId w:val="3"/>
  </w:num>
  <w:num w:numId="18">
    <w:abstractNumId w:val="23"/>
  </w:num>
  <w:num w:numId="19">
    <w:abstractNumId w:val="33"/>
  </w:num>
  <w:num w:numId="20">
    <w:abstractNumId w:val="9"/>
  </w:num>
  <w:num w:numId="21">
    <w:abstractNumId w:val="19"/>
  </w:num>
  <w:num w:numId="22">
    <w:abstractNumId w:val="15"/>
  </w:num>
  <w:num w:numId="23">
    <w:abstractNumId w:val="11"/>
  </w:num>
  <w:num w:numId="24">
    <w:abstractNumId w:val="59"/>
  </w:num>
  <w:num w:numId="25">
    <w:abstractNumId w:val="41"/>
  </w:num>
  <w:num w:numId="26">
    <w:abstractNumId w:val="40"/>
  </w:num>
  <w:num w:numId="27">
    <w:abstractNumId w:val="27"/>
  </w:num>
  <w:num w:numId="28">
    <w:abstractNumId w:val="49"/>
  </w:num>
  <w:num w:numId="29">
    <w:abstractNumId w:val="34"/>
  </w:num>
  <w:num w:numId="30">
    <w:abstractNumId w:val="47"/>
  </w:num>
  <w:num w:numId="31">
    <w:abstractNumId w:val="31"/>
  </w:num>
  <w:num w:numId="32">
    <w:abstractNumId w:val="53"/>
  </w:num>
  <w:num w:numId="33">
    <w:abstractNumId w:val="51"/>
  </w:num>
  <w:num w:numId="34">
    <w:abstractNumId w:val="39"/>
  </w:num>
  <w:num w:numId="35">
    <w:abstractNumId w:val="4"/>
  </w:num>
  <w:num w:numId="36">
    <w:abstractNumId w:val="18"/>
  </w:num>
  <w:num w:numId="37">
    <w:abstractNumId w:val="42"/>
  </w:num>
  <w:num w:numId="38">
    <w:abstractNumId w:val="6"/>
  </w:num>
  <w:num w:numId="39">
    <w:abstractNumId w:val="5"/>
  </w:num>
  <w:num w:numId="40">
    <w:abstractNumId w:val="14"/>
  </w:num>
  <w:num w:numId="41">
    <w:abstractNumId w:val="16"/>
  </w:num>
  <w:num w:numId="42">
    <w:abstractNumId w:val="50"/>
  </w:num>
  <w:num w:numId="43">
    <w:abstractNumId w:val="20"/>
  </w:num>
  <w:num w:numId="44">
    <w:abstractNumId w:val="45"/>
  </w:num>
  <w:num w:numId="45">
    <w:abstractNumId w:val="55"/>
  </w:num>
  <w:num w:numId="46">
    <w:abstractNumId w:val="56"/>
  </w:num>
  <w:num w:numId="47">
    <w:abstractNumId w:val="13"/>
  </w:num>
  <w:num w:numId="48">
    <w:abstractNumId w:val="30"/>
  </w:num>
  <w:num w:numId="49">
    <w:abstractNumId w:val="22"/>
  </w:num>
  <w:num w:numId="50">
    <w:abstractNumId w:val="35"/>
  </w:num>
  <w:num w:numId="51">
    <w:abstractNumId w:val="28"/>
  </w:num>
  <w:num w:numId="52">
    <w:abstractNumId w:val="25"/>
  </w:num>
  <w:num w:numId="53">
    <w:abstractNumId w:val="29"/>
  </w:num>
  <w:num w:numId="54">
    <w:abstractNumId w:val="48"/>
  </w:num>
  <w:num w:numId="55">
    <w:abstractNumId w:val="36"/>
  </w:num>
  <w:num w:numId="56">
    <w:abstractNumId w:val="12"/>
  </w:num>
  <w:num w:numId="57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A2C"/>
    <w:rsid w:val="00001623"/>
    <w:rsid w:val="00001770"/>
    <w:rsid w:val="00002A92"/>
    <w:rsid w:val="00003C37"/>
    <w:rsid w:val="00005F3E"/>
    <w:rsid w:val="000111DB"/>
    <w:rsid w:val="0001426E"/>
    <w:rsid w:val="0001445D"/>
    <w:rsid w:val="000166E5"/>
    <w:rsid w:val="00022B20"/>
    <w:rsid w:val="00023A0F"/>
    <w:rsid w:val="00024502"/>
    <w:rsid w:val="00024B98"/>
    <w:rsid w:val="0002743C"/>
    <w:rsid w:val="00031D5B"/>
    <w:rsid w:val="000322EA"/>
    <w:rsid w:val="00034117"/>
    <w:rsid w:val="00037A7E"/>
    <w:rsid w:val="00043D39"/>
    <w:rsid w:val="00045DCE"/>
    <w:rsid w:val="0005079B"/>
    <w:rsid w:val="00051B2F"/>
    <w:rsid w:val="0005387D"/>
    <w:rsid w:val="00054F22"/>
    <w:rsid w:val="000618AC"/>
    <w:rsid w:val="00062F40"/>
    <w:rsid w:val="000675BE"/>
    <w:rsid w:val="00074B51"/>
    <w:rsid w:val="00081BFC"/>
    <w:rsid w:val="00084327"/>
    <w:rsid w:val="000902D0"/>
    <w:rsid w:val="00090769"/>
    <w:rsid w:val="000932DE"/>
    <w:rsid w:val="00093DCB"/>
    <w:rsid w:val="00094AD0"/>
    <w:rsid w:val="00097FC9"/>
    <w:rsid w:val="000A0EC3"/>
    <w:rsid w:val="000A1F79"/>
    <w:rsid w:val="000A2F47"/>
    <w:rsid w:val="000A490B"/>
    <w:rsid w:val="000B029F"/>
    <w:rsid w:val="000B1E97"/>
    <w:rsid w:val="000B78FF"/>
    <w:rsid w:val="000C2BFA"/>
    <w:rsid w:val="000C47A6"/>
    <w:rsid w:val="000D15F6"/>
    <w:rsid w:val="000D32E4"/>
    <w:rsid w:val="000D3F81"/>
    <w:rsid w:val="000D51BC"/>
    <w:rsid w:val="000D5521"/>
    <w:rsid w:val="000E3803"/>
    <w:rsid w:val="000F1F3F"/>
    <w:rsid w:val="000F3895"/>
    <w:rsid w:val="000F7B96"/>
    <w:rsid w:val="00110F4A"/>
    <w:rsid w:val="0011437C"/>
    <w:rsid w:val="0011755E"/>
    <w:rsid w:val="0012674F"/>
    <w:rsid w:val="001278C5"/>
    <w:rsid w:val="00130EBB"/>
    <w:rsid w:val="0013157E"/>
    <w:rsid w:val="00132610"/>
    <w:rsid w:val="00135B53"/>
    <w:rsid w:val="00142D6F"/>
    <w:rsid w:val="00143B04"/>
    <w:rsid w:val="00144029"/>
    <w:rsid w:val="00146A33"/>
    <w:rsid w:val="00147575"/>
    <w:rsid w:val="00150860"/>
    <w:rsid w:val="00150FF5"/>
    <w:rsid w:val="00151C37"/>
    <w:rsid w:val="00151DF7"/>
    <w:rsid w:val="00157E0E"/>
    <w:rsid w:val="00164A7A"/>
    <w:rsid w:val="0016562B"/>
    <w:rsid w:val="00165D4C"/>
    <w:rsid w:val="0017674D"/>
    <w:rsid w:val="00181D58"/>
    <w:rsid w:val="0018291E"/>
    <w:rsid w:val="00183E81"/>
    <w:rsid w:val="00184BBF"/>
    <w:rsid w:val="00186A15"/>
    <w:rsid w:val="0019024A"/>
    <w:rsid w:val="001A0186"/>
    <w:rsid w:val="001A1971"/>
    <w:rsid w:val="001A6002"/>
    <w:rsid w:val="001A6542"/>
    <w:rsid w:val="001C255A"/>
    <w:rsid w:val="001C4E35"/>
    <w:rsid w:val="001C5C8C"/>
    <w:rsid w:val="001C6B1C"/>
    <w:rsid w:val="001C6EA5"/>
    <w:rsid w:val="001D0A41"/>
    <w:rsid w:val="001D2772"/>
    <w:rsid w:val="001D6527"/>
    <w:rsid w:val="001D6ACF"/>
    <w:rsid w:val="001D70EF"/>
    <w:rsid w:val="001E181A"/>
    <w:rsid w:val="001E2633"/>
    <w:rsid w:val="001E29E2"/>
    <w:rsid w:val="001E4805"/>
    <w:rsid w:val="001E5F58"/>
    <w:rsid w:val="001F03CF"/>
    <w:rsid w:val="001F07CB"/>
    <w:rsid w:val="001F2A7D"/>
    <w:rsid w:val="002010F8"/>
    <w:rsid w:val="00206F8B"/>
    <w:rsid w:val="00210D27"/>
    <w:rsid w:val="002221CD"/>
    <w:rsid w:val="00225849"/>
    <w:rsid w:val="00232FD4"/>
    <w:rsid w:val="002362BB"/>
    <w:rsid w:val="00240B0C"/>
    <w:rsid w:val="00241663"/>
    <w:rsid w:val="00241782"/>
    <w:rsid w:val="0024223A"/>
    <w:rsid w:val="00242D39"/>
    <w:rsid w:val="0024400F"/>
    <w:rsid w:val="002461D8"/>
    <w:rsid w:val="00247F77"/>
    <w:rsid w:val="0025400B"/>
    <w:rsid w:val="0026474F"/>
    <w:rsid w:val="00264E79"/>
    <w:rsid w:val="0027279D"/>
    <w:rsid w:val="002756F2"/>
    <w:rsid w:val="00281E3E"/>
    <w:rsid w:val="00290C8B"/>
    <w:rsid w:val="002923AA"/>
    <w:rsid w:val="0029504B"/>
    <w:rsid w:val="002954D7"/>
    <w:rsid w:val="002A2D85"/>
    <w:rsid w:val="002A3732"/>
    <w:rsid w:val="002A6A73"/>
    <w:rsid w:val="002B2CF0"/>
    <w:rsid w:val="002C5B08"/>
    <w:rsid w:val="002C5F58"/>
    <w:rsid w:val="002D20A6"/>
    <w:rsid w:val="002D436C"/>
    <w:rsid w:val="002D58FF"/>
    <w:rsid w:val="002D6AE8"/>
    <w:rsid w:val="002E0600"/>
    <w:rsid w:val="002E467C"/>
    <w:rsid w:val="002E5660"/>
    <w:rsid w:val="002F071C"/>
    <w:rsid w:val="002F3998"/>
    <w:rsid w:val="002F4EE1"/>
    <w:rsid w:val="002F6E3D"/>
    <w:rsid w:val="00301D37"/>
    <w:rsid w:val="00302C34"/>
    <w:rsid w:val="003035E5"/>
    <w:rsid w:val="003042EF"/>
    <w:rsid w:val="00310967"/>
    <w:rsid w:val="00311781"/>
    <w:rsid w:val="003123C2"/>
    <w:rsid w:val="00321A9C"/>
    <w:rsid w:val="00322F30"/>
    <w:rsid w:val="00326DB2"/>
    <w:rsid w:val="00332D03"/>
    <w:rsid w:val="0033556C"/>
    <w:rsid w:val="0034033D"/>
    <w:rsid w:val="003407CF"/>
    <w:rsid w:val="00341BE5"/>
    <w:rsid w:val="00344FEC"/>
    <w:rsid w:val="00350D5B"/>
    <w:rsid w:val="00351518"/>
    <w:rsid w:val="003540F1"/>
    <w:rsid w:val="00357785"/>
    <w:rsid w:val="00360433"/>
    <w:rsid w:val="00363276"/>
    <w:rsid w:val="00364071"/>
    <w:rsid w:val="003642E0"/>
    <w:rsid w:val="003661E2"/>
    <w:rsid w:val="00367318"/>
    <w:rsid w:val="00370CA0"/>
    <w:rsid w:val="00371AAA"/>
    <w:rsid w:val="003729CE"/>
    <w:rsid w:val="00373922"/>
    <w:rsid w:val="0037592A"/>
    <w:rsid w:val="00380434"/>
    <w:rsid w:val="00380533"/>
    <w:rsid w:val="003934C6"/>
    <w:rsid w:val="00393816"/>
    <w:rsid w:val="003961EC"/>
    <w:rsid w:val="003A349E"/>
    <w:rsid w:val="003A3B28"/>
    <w:rsid w:val="003A4764"/>
    <w:rsid w:val="003B513C"/>
    <w:rsid w:val="003B619C"/>
    <w:rsid w:val="003C647E"/>
    <w:rsid w:val="003E10AF"/>
    <w:rsid w:val="003E3262"/>
    <w:rsid w:val="003E4398"/>
    <w:rsid w:val="003F4AE9"/>
    <w:rsid w:val="0040368B"/>
    <w:rsid w:val="00405481"/>
    <w:rsid w:val="004109CF"/>
    <w:rsid w:val="00413886"/>
    <w:rsid w:val="00413E42"/>
    <w:rsid w:val="0042159B"/>
    <w:rsid w:val="00422599"/>
    <w:rsid w:val="00424243"/>
    <w:rsid w:val="0042692C"/>
    <w:rsid w:val="00427419"/>
    <w:rsid w:val="00433B70"/>
    <w:rsid w:val="00435BDC"/>
    <w:rsid w:val="00445BDC"/>
    <w:rsid w:val="00450681"/>
    <w:rsid w:val="0045383F"/>
    <w:rsid w:val="00453CD2"/>
    <w:rsid w:val="00454328"/>
    <w:rsid w:val="00454C61"/>
    <w:rsid w:val="00455966"/>
    <w:rsid w:val="004572FD"/>
    <w:rsid w:val="00470421"/>
    <w:rsid w:val="00470A3D"/>
    <w:rsid w:val="00470CC9"/>
    <w:rsid w:val="0048018B"/>
    <w:rsid w:val="004817F5"/>
    <w:rsid w:val="0048238C"/>
    <w:rsid w:val="004833AE"/>
    <w:rsid w:val="004834CE"/>
    <w:rsid w:val="00485F6A"/>
    <w:rsid w:val="00486735"/>
    <w:rsid w:val="0048792C"/>
    <w:rsid w:val="00487D45"/>
    <w:rsid w:val="00491736"/>
    <w:rsid w:val="0049542E"/>
    <w:rsid w:val="00495F76"/>
    <w:rsid w:val="0049690C"/>
    <w:rsid w:val="004A08FD"/>
    <w:rsid w:val="004A0FFA"/>
    <w:rsid w:val="004A1ED9"/>
    <w:rsid w:val="004A3167"/>
    <w:rsid w:val="004A375E"/>
    <w:rsid w:val="004A3B41"/>
    <w:rsid w:val="004B26ED"/>
    <w:rsid w:val="004B3149"/>
    <w:rsid w:val="004B3906"/>
    <w:rsid w:val="004B4BFA"/>
    <w:rsid w:val="004B5F99"/>
    <w:rsid w:val="004B6798"/>
    <w:rsid w:val="004C3D29"/>
    <w:rsid w:val="004C6329"/>
    <w:rsid w:val="004D1684"/>
    <w:rsid w:val="004D4098"/>
    <w:rsid w:val="004D73F1"/>
    <w:rsid w:val="004E0A32"/>
    <w:rsid w:val="004E466C"/>
    <w:rsid w:val="004E46DC"/>
    <w:rsid w:val="004E71B8"/>
    <w:rsid w:val="004F175D"/>
    <w:rsid w:val="004F1A9A"/>
    <w:rsid w:val="004F2DAA"/>
    <w:rsid w:val="005019BD"/>
    <w:rsid w:val="005056E0"/>
    <w:rsid w:val="00511F66"/>
    <w:rsid w:val="00512BE1"/>
    <w:rsid w:val="0051366A"/>
    <w:rsid w:val="00513C8F"/>
    <w:rsid w:val="0052039C"/>
    <w:rsid w:val="00520B64"/>
    <w:rsid w:val="005224E9"/>
    <w:rsid w:val="00524C21"/>
    <w:rsid w:val="00527CBA"/>
    <w:rsid w:val="00534326"/>
    <w:rsid w:val="00534DCD"/>
    <w:rsid w:val="0053688F"/>
    <w:rsid w:val="005372DA"/>
    <w:rsid w:val="00542D55"/>
    <w:rsid w:val="005432C2"/>
    <w:rsid w:val="005455B3"/>
    <w:rsid w:val="005466C8"/>
    <w:rsid w:val="00547507"/>
    <w:rsid w:val="0055067B"/>
    <w:rsid w:val="00550B87"/>
    <w:rsid w:val="00555334"/>
    <w:rsid w:val="00555D26"/>
    <w:rsid w:val="00560805"/>
    <w:rsid w:val="00571B84"/>
    <w:rsid w:val="0057250F"/>
    <w:rsid w:val="00572B56"/>
    <w:rsid w:val="00573B26"/>
    <w:rsid w:val="00577623"/>
    <w:rsid w:val="00580150"/>
    <w:rsid w:val="005848A7"/>
    <w:rsid w:val="0059167D"/>
    <w:rsid w:val="00592B27"/>
    <w:rsid w:val="00595013"/>
    <w:rsid w:val="00596972"/>
    <w:rsid w:val="005A1009"/>
    <w:rsid w:val="005A665D"/>
    <w:rsid w:val="005B4B73"/>
    <w:rsid w:val="005C35BE"/>
    <w:rsid w:val="005C702A"/>
    <w:rsid w:val="005D3352"/>
    <w:rsid w:val="005D407F"/>
    <w:rsid w:val="005D506B"/>
    <w:rsid w:val="005D7B4D"/>
    <w:rsid w:val="005E037B"/>
    <w:rsid w:val="005E1EB2"/>
    <w:rsid w:val="005E239D"/>
    <w:rsid w:val="005E36F1"/>
    <w:rsid w:val="005F0522"/>
    <w:rsid w:val="005F442D"/>
    <w:rsid w:val="005F4EE3"/>
    <w:rsid w:val="00604429"/>
    <w:rsid w:val="0062192F"/>
    <w:rsid w:val="00621EDB"/>
    <w:rsid w:val="00631344"/>
    <w:rsid w:val="00631C7C"/>
    <w:rsid w:val="00636012"/>
    <w:rsid w:val="00641C5C"/>
    <w:rsid w:val="00644944"/>
    <w:rsid w:val="006512FE"/>
    <w:rsid w:val="00652C6B"/>
    <w:rsid w:val="00652E34"/>
    <w:rsid w:val="00657B45"/>
    <w:rsid w:val="006606CE"/>
    <w:rsid w:val="0066225F"/>
    <w:rsid w:val="00662F04"/>
    <w:rsid w:val="006638F0"/>
    <w:rsid w:val="006648A4"/>
    <w:rsid w:val="0066563C"/>
    <w:rsid w:val="006702E8"/>
    <w:rsid w:val="0067691E"/>
    <w:rsid w:val="006871CE"/>
    <w:rsid w:val="00687AB7"/>
    <w:rsid w:val="00697662"/>
    <w:rsid w:val="006A1DBD"/>
    <w:rsid w:val="006A55B0"/>
    <w:rsid w:val="006B3E57"/>
    <w:rsid w:val="006C0BA9"/>
    <w:rsid w:val="006C4DB2"/>
    <w:rsid w:val="006C7B3A"/>
    <w:rsid w:val="006C7CDF"/>
    <w:rsid w:val="006E0263"/>
    <w:rsid w:val="006E149A"/>
    <w:rsid w:val="006E315A"/>
    <w:rsid w:val="006E64AE"/>
    <w:rsid w:val="006E7AB7"/>
    <w:rsid w:val="006F1CD1"/>
    <w:rsid w:val="006F377E"/>
    <w:rsid w:val="0070175E"/>
    <w:rsid w:val="007058F6"/>
    <w:rsid w:val="00705BD2"/>
    <w:rsid w:val="00717A08"/>
    <w:rsid w:val="00717CC2"/>
    <w:rsid w:val="007217EC"/>
    <w:rsid w:val="007231A0"/>
    <w:rsid w:val="007302EA"/>
    <w:rsid w:val="00730768"/>
    <w:rsid w:val="00730F9B"/>
    <w:rsid w:val="00733ED5"/>
    <w:rsid w:val="00734A56"/>
    <w:rsid w:val="007430D5"/>
    <w:rsid w:val="007433FA"/>
    <w:rsid w:val="00744A58"/>
    <w:rsid w:val="00747233"/>
    <w:rsid w:val="00752C1B"/>
    <w:rsid w:val="00753F7E"/>
    <w:rsid w:val="00755AB7"/>
    <w:rsid w:val="00761AB4"/>
    <w:rsid w:val="00764287"/>
    <w:rsid w:val="007739D8"/>
    <w:rsid w:val="00773A9E"/>
    <w:rsid w:val="00780604"/>
    <w:rsid w:val="0078262B"/>
    <w:rsid w:val="0078397A"/>
    <w:rsid w:val="00785F09"/>
    <w:rsid w:val="00786E3E"/>
    <w:rsid w:val="00791421"/>
    <w:rsid w:val="00795042"/>
    <w:rsid w:val="007B1E41"/>
    <w:rsid w:val="007C0892"/>
    <w:rsid w:val="007C3A9B"/>
    <w:rsid w:val="007D1959"/>
    <w:rsid w:val="007E17EC"/>
    <w:rsid w:val="007E2A67"/>
    <w:rsid w:val="007E2E95"/>
    <w:rsid w:val="007E47C0"/>
    <w:rsid w:val="007E5772"/>
    <w:rsid w:val="007E60FC"/>
    <w:rsid w:val="007E6FC8"/>
    <w:rsid w:val="00801293"/>
    <w:rsid w:val="00806708"/>
    <w:rsid w:val="00811A2C"/>
    <w:rsid w:val="0081231F"/>
    <w:rsid w:val="00812592"/>
    <w:rsid w:val="0081456A"/>
    <w:rsid w:val="00824350"/>
    <w:rsid w:val="008245DB"/>
    <w:rsid w:val="00834F2A"/>
    <w:rsid w:val="00837B79"/>
    <w:rsid w:val="008414B4"/>
    <w:rsid w:val="00842BA9"/>
    <w:rsid w:val="00843E11"/>
    <w:rsid w:val="00844D78"/>
    <w:rsid w:val="00855475"/>
    <w:rsid w:val="008606B0"/>
    <w:rsid w:val="00862A9C"/>
    <w:rsid w:val="00865953"/>
    <w:rsid w:val="00866387"/>
    <w:rsid w:val="00872D47"/>
    <w:rsid w:val="00875FD2"/>
    <w:rsid w:val="0087751C"/>
    <w:rsid w:val="00877A1E"/>
    <w:rsid w:val="008809A0"/>
    <w:rsid w:val="0088586D"/>
    <w:rsid w:val="008913F7"/>
    <w:rsid w:val="008A0CF1"/>
    <w:rsid w:val="008A1054"/>
    <w:rsid w:val="008A4402"/>
    <w:rsid w:val="008A5685"/>
    <w:rsid w:val="008A5B87"/>
    <w:rsid w:val="008A71F1"/>
    <w:rsid w:val="008B15BD"/>
    <w:rsid w:val="008B2078"/>
    <w:rsid w:val="008B2217"/>
    <w:rsid w:val="008B672E"/>
    <w:rsid w:val="008C13D7"/>
    <w:rsid w:val="008C3E83"/>
    <w:rsid w:val="008C4833"/>
    <w:rsid w:val="008C6642"/>
    <w:rsid w:val="008C699F"/>
    <w:rsid w:val="008D0547"/>
    <w:rsid w:val="008D2284"/>
    <w:rsid w:val="008D264C"/>
    <w:rsid w:val="008D42C8"/>
    <w:rsid w:val="008F2E94"/>
    <w:rsid w:val="008F3564"/>
    <w:rsid w:val="00904604"/>
    <w:rsid w:val="00905DD0"/>
    <w:rsid w:val="00910609"/>
    <w:rsid w:val="00910C74"/>
    <w:rsid w:val="00911A73"/>
    <w:rsid w:val="00914B82"/>
    <w:rsid w:val="009243C8"/>
    <w:rsid w:val="00925FE1"/>
    <w:rsid w:val="00933022"/>
    <w:rsid w:val="00933542"/>
    <w:rsid w:val="00941D00"/>
    <w:rsid w:val="00960EF4"/>
    <w:rsid w:val="0096409A"/>
    <w:rsid w:val="00964DA3"/>
    <w:rsid w:val="00966D90"/>
    <w:rsid w:val="00971B2B"/>
    <w:rsid w:val="00973F0C"/>
    <w:rsid w:val="009814FA"/>
    <w:rsid w:val="00992AF7"/>
    <w:rsid w:val="00995F12"/>
    <w:rsid w:val="009A4E2E"/>
    <w:rsid w:val="009A6AFB"/>
    <w:rsid w:val="009B0EA0"/>
    <w:rsid w:val="009B13DF"/>
    <w:rsid w:val="009B45F1"/>
    <w:rsid w:val="009B6F14"/>
    <w:rsid w:val="009C4C2C"/>
    <w:rsid w:val="009C674F"/>
    <w:rsid w:val="009C6CCB"/>
    <w:rsid w:val="009D13C2"/>
    <w:rsid w:val="009D3C73"/>
    <w:rsid w:val="009D4401"/>
    <w:rsid w:val="009E1277"/>
    <w:rsid w:val="009E5B44"/>
    <w:rsid w:val="009E5DBB"/>
    <w:rsid w:val="009F3932"/>
    <w:rsid w:val="009F431A"/>
    <w:rsid w:val="009F51E0"/>
    <w:rsid w:val="009F59EF"/>
    <w:rsid w:val="00A011D0"/>
    <w:rsid w:val="00A0166F"/>
    <w:rsid w:val="00A05E90"/>
    <w:rsid w:val="00A06888"/>
    <w:rsid w:val="00A22186"/>
    <w:rsid w:val="00A24BF3"/>
    <w:rsid w:val="00A24D7B"/>
    <w:rsid w:val="00A25175"/>
    <w:rsid w:val="00A26355"/>
    <w:rsid w:val="00A268F4"/>
    <w:rsid w:val="00A26E6D"/>
    <w:rsid w:val="00A362F8"/>
    <w:rsid w:val="00A424E2"/>
    <w:rsid w:val="00A50E18"/>
    <w:rsid w:val="00A51BC2"/>
    <w:rsid w:val="00A52665"/>
    <w:rsid w:val="00A56F9D"/>
    <w:rsid w:val="00A56FC4"/>
    <w:rsid w:val="00A61C52"/>
    <w:rsid w:val="00A62E5E"/>
    <w:rsid w:val="00A6390B"/>
    <w:rsid w:val="00A64B58"/>
    <w:rsid w:val="00A77864"/>
    <w:rsid w:val="00A80567"/>
    <w:rsid w:val="00A85946"/>
    <w:rsid w:val="00A92464"/>
    <w:rsid w:val="00A92A31"/>
    <w:rsid w:val="00A943DB"/>
    <w:rsid w:val="00A95F47"/>
    <w:rsid w:val="00AA2CD6"/>
    <w:rsid w:val="00AA3923"/>
    <w:rsid w:val="00AA4BE0"/>
    <w:rsid w:val="00AB07DD"/>
    <w:rsid w:val="00AB2245"/>
    <w:rsid w:val="00AB289F"/>
    <w:rsid w:val="00AB56D2"/>
    <w:rsid w:val="00AB57BF"/>
    <w:rsid w:val="00AB6B5D"/>
    <w:rsid w:val="00AC07A3"/>
    <w:rsid w:val="00AC0D36"/>
    <w:rsid w:val="00AC1D88"/>
    <w:rsid w:val="00AC27C2"/>
    <w:rsid w:val="00AC4362"/>
    <w:rsid w:val="00AC44B6"/>
    <w:rsid w:val="00AC6DCE"/>
    <w:rsid w:val="00AD05F7"/>
    <w:rsid w:val="00AD2BC8"/>
    <w:rsid w:val="00AD6894"/>
    <w:rsid w:val="00AE7A9F"/>
    <w:rsid w:val="00AF0F95"/>
    <w:rsid w:val="00B01169"/>
    <w:rsid w:val="00B01759"/>
    <w:rsid w:val="00B01D73"/>
    <w:rsid w:val="00B0235C"/>
    <w:rsid w:val="00B150A2"/>
    <w:rsid w:val="00B165E1"/>
    <w:rsid w:val="00B175BE"/>
    <w:rsid w:val="00B17CCA"/>
    <w:rsid w:val="00B207C8"/>
    <w:rsid w:val="00B219BA"/>
    <w:rsid w:val="00B27ADB"/>
    <w:rsid w:val="00B36169"/>
    <w:rsid w:val="00B36CD4"/>
    <w:rsid w:val="00B40712"/>
    <w:rsid w:val="00B40CE3"/>
    <w:rsid w:val="00B43F83"/>
    <w:rsid w:val="00B44433"/>
    <w:rsid w:val="00B53BD9"/>
    <w:rsid w:val="00B561AE"/>
    <w:rsid w:val="00B63BC8"/>
    <w:rsid w:val="00B707F7"/>
    <w:rsid w:val="00B74143"/>
    <w:rsid w:val="00B745B6"/>
    <w:rsid w:val="00B75539"/>
    <w:rsid w:val="00B75FBB"/>
    <w:rsid w:val="00B817E0"/>
    <w:rsid w:val="00B827AD"/>
    <w:rsid w:val="00B84FEC"/>
    <w:rsid w:val="00B85FF5"/>
    <w:rsid w:val="00B9287C"/>
    <w:rsid w:val="00B93D4C"/>
    <w:rsid w:val="00B9449B"/>
    <w:rsid w:val="00BA1038"/>
    <w:rsid w:val="00BB2912"/>
    <w:rsid w:val="00BB3C2A"/>
    <w:rsid w:val="00BC109D"/>
    <w:rsid w:val="00BC4A0B"/>
    <w:rsid w:val="00BC4EC5"/>
    <w:rsid w:val="00BD480E"/>
    <w:rsid w:val="00BD5021"/>
    <w:rsid w:val="00BE4963"/>
    <w:rsid w:val="00BE7015"/>
    <w:rsid w:val="00BE7CB1"/>
    <w:rsid w:val="00C043A4"/>
    <w:rsid w:val="00C116E5"/>
    <w:rsid w:val="00C11CC9"/>
    <w:rsid w:val="00C12C51"/>
    <w:rsid w:val="00C12DCE"/>
    <w:rsid w:val="00C17A61"/>
    <w:rsid w:val="00C24A82"/>
    <w:rsid w:val="00C2584D"/>
    <w:rsid w:val="00C26671"/>
    <w:rsid w:val="00C34AB9"/>
    <w:rsid w:val="00C46188"/>
    <w:rsid w:val="00C5041E"/>
    <w:rsid w:val="00C51893"/>
    <w:rsid w:val="00C5211E"/>
    <w:rsid w:val="00C52584"/>
    <w:rsid w:val="00C61AEC"/>
    <w:rsid w:val="00C61BB4"/>
    <w:rsid w:val="00C6454E"/>
    <w:rsid w:val="00C721E0"/>
    <w:rsid w:val="00C73C29"/>
    <w:rsid w:val="00C73D8D"/>
    <w:rsid w:val="00C806E5"/>
    <w:rsid w:val="00C816AF"/>
    <w:rsid w:val="00C81F25"/>
    <w:rsid w:val="00C9092C"/>
    <w:rsid w:val="00C91414"/>
    <w:rsid w:val="00C959F1"/>
    <w:rsid w:val="00CA4CC7"/>
    <w:rsid w:val="00CB1052"/>
    <w:rsid w:val="00CB16AF"/>
    <w:rsid w:val="00CB5829"/>
    <w:rsid w:val="00CB5C46"/>
    <w:rsid w:val="00CB707E"/>
    <w:rsid w:val="00CC3767"/>
    <w:rsid w:val="00CC6ACC"/>
    <w:rsid w:val="00CC6D6F"/>
    <w:rsid w:val="00CD28C3"/>
    <w:rsid w:val="00CD2DF9"/>
    <w:rsid w:val="00CD3007"/>
    <w:rsid w:val="00CD36E6"/>
    <w:rsid w:val="00CD4C90"/>
    <w:rsid w:val="00CD58D9"/>
    <w:rsid w:val="00CE39B3"/>
    <w:rsid w:val="00CE3C16"/>
    <w:rsid w:val="00CF19CA"/>
    <w:rsid w:val="00CF1AD6"/>
    <w:rsid w:val="00CF318F"/>
    <w:rsid w:val="00CF46F1"/>
    <w:rsid w:val="00D0076F"/>
    <w:rsid w:val="00D1090A"/>
    <w:rsid w:val="00D10A33"/>
    <w:rsid w:val="00D12C19"/>
    <w:rsid w:val="00D1780B"/>
    <w:rsid w:val="00D17D48"/>
    <w:rsid w:val="00D21DF7"/>
    <w:rsid w:val="00D2231F"/>
    <w:rsid w:val="00D23830"/>
    <w:rsid w:val="00D26892"/>
    <w:rsid w:val="00D26D7D"/>
    <w:rsid w:val="00D26EEA"/>
    <w:rsid w:val="00D313C3"/>
    <w:rsid w:val="00D3440D"/>
    <w:rsid w:val="00D3499A"/>
    <w:rsid w:val="00D4056F"/>
    <w:rsid w:val="00D473E9"/>
    <w:rsid w:val="00D50514"/>
    <w:rsid w:val="00D51705"/>
    <w:rsid w:val="00D519C0"/>
    <w:rsid w:val="00D52AB4"/>
    <w:rsid w:val="00D555E5"/>
    <w:rsid w:val="00D55970"/>
    <w:rsid w:val="00D61222"/>
    <w:rsid w:val="00D62AE8"/>
    <w:rsid w:val="00D64FD5"/>
    <w:rsid w:val="00D708F2"/>
    <w:rsid w:val="00D716D0"/>
    <w:rsid w:val="00D71A88"/>
    <w:rsid w:val="00D72899"/>
    <w:rsid w:val="00D75DC7"/>
    <w:rsid w:val="00D82F32"/>
    <w:rsid w:val="00D83E67"/>
    <w:rsid w:val="00D9222B"/>
    <w:rsid w:val="00D95516"/>
    <w:rsid w:val="00D964C5"/>
    <w:rsid w:val="00D97517"/>
    <w:rsid w:val="00DA12B2"/>
    <w:rsid w:val="00DA2A93"/>
    <w:rsid w:val="00DA371D"/>
    <w:rsid w:val="00DA4991"/>
    <w:rsid w:val="00DA5A43"/>
    <w:rsid w:val="00DA5E40"/>
    <w:rsid w:val="00DB01D4"/>
    <w:rsid w:val="00DB4BE5"/>
    <w:rsid w:val="00DB6C6F"/>
    <w:rsid w:val="00DC088E"/>
    <w:rsid w:val="00DC3ED5"/>
    <w:rsid w:val="00DC6029"/>
    <w:rsid w:val="00DC74BB"/>
    <w:rsid w:val="00DD1A7F"/>
    <w:rsid w:val="00DD25F6"/>
    <w:rsid w:val="00DD47AD"/>
    <w:rsid w:val="00DD68D6"/>
    <w:rsid w:val="00DD70B1"/>
    <w:rsid w:val="00DD757A"/>
    <w:rsid w:val="00DE0EF3"/>
    <w:rsid w:val="00DE16AE"/>
    <w:rsid w:val="00DE779F"/>
    <w:rsid w:val="00DF5C87"/>
    <w:rsid w:val="00E02DE5"/>
    <w:rsid w:val="00E0339B"/>
    <w:rsid w:val="00E0436E"/>
    <w:rsid w:val="00E114BB"/>
    <w:rsid w:val="00E1278F"/>
    <w:rsid w:val="00E12FFC"/>
    <w:rsid w:val="00E14FFE"/>
    <w:rsid w:val="00E16A37"/>
    <w:rsid w:val="00E20254"/>
    <w:rsid w:val="00E2336F"/>
    <w:rsid w:val="00E25270"/>
    <w:rsid w:val="00E27B00"/>
    <w:rsid w:val="00E3416C"/>
    <w:rsid w:val="00E409E1"/>
    <w:rsid w:val="00E43832"/>
    <w:rsid w:val="00E46026"/>
    <w:rsid w:val="00E47607"/>
    <w:rsid w:val="00E54AFE"/>
    <w:rsid w:val="00E56EC0"/>
    <w:rsid w:val="00E57F8D"/>
    <w:rsid w:val="00E61264"/>
    <w:rsid w:val="00E614A4"/>
    <w:rsid w:val="00E61C40"/>
    <w:rsid w:val="00E63645"/>
    <w:rsid w:val="00E638F8"/>
    <w:rsid w:val="00E63940"/>
    <w:rsid w:val="00E70836"/>
    <w:rsid w:val="00E77004"/>
    <w:rsid w:val="00E83476"/>
    <w:rsid w:val="00E8434D"/>
    <w:rsid w:val="00E8608E"/>
    <w:rsid w:val="00E861B1"/>
    <w:rsid w:val="00E95E29"/>
    <w:rsid w:val="00E9671A"/>
    <w:rsid w:val="00EA3721"/>
    <w:rsid w:val="00EA7009"/>
    <w:rsid w:val="00EB3471"/>
    <w:rsid w:val="00EB41FC"/>
    <w:rsid w:val="00EB492D"/>
    <w:rsid w:val="00EB7478"/>
    <w:rsid w:val="00EC0E65"/>
    <w:rsid w:val="00EC1BD8"/>
    <w:rsid w:val="00EC4863"/>
    <w:rsid w:val="00EC76C1"/>
    <w:rsid w:val="00ED016D"/>
    <w:rsid w:val="00ED1A66"/>
    <w:rsid w:val="00ED3222"/>
    <w:rsid w:val="00ED3F28"/>
    <w:rsid w:val="00ED50D3"/>
    <w:rsid w:val="00ED781A"/>
    <w:rsid w:val="00EE0032"/>
    <w:rsid w:val="00EE028A"/>
    <w:rsid w:val="00EE10A7"/>
    <w:rsid w:val="00EE3918"/>
    <w:rsid w:val="00EE4981"/>
    <w:rsid w:val="00EE61F1"/>
    <w:rsid w:val="00EF32DB"/>
    <w:rsid w:val="00EF71BD"/>
    <w:rsid w:val="00F02A9B"/>
    <w:rsid w:val="00F056F6"/>
    <w:rsid w:val="00F069D2"/>
    <w:rsid w:val="00F1232E"/>
    <w:rsid w:val="00F123AA"/>
    <w:rsid w:val="00F14621"/>
    <w:rsid w:val="00F21273"/>
    <w:rsid w:val="00F2244F"/>
    <w:rsid w:val="00F235B5"/>
    <w:rsid w:val="00F25C4A"/>
    <w:rsid w:val="00F30422"/>
    <w:rsid w:val="00F311B6"/>
    <w:rsid w:val="00F34969"/>
    <w:rsid w:val="00F379F3"/>
    <w:rsid w:val="00F479DF"/>
    <w:rsid w:val="00F55BA7"/>
    <w:rsid w:val="00F56245"/>
    <w:rsid w:val="00F6238B"/>
    <w:rsid w:val="00F672A5"/>
    <w:rsid w:val="00F77A14"/>
    <w:rsid w:val="00F82F87"/>
    <w:rsid w:val="00F8465A"/>
    <w:rsid w:val="00F85A17"/>
    <w:rsid w:val="00F94315"/>
    <w:rsid w:val="00FA2FD4"/>
    <w:rsid w:val="00FA33E1"/>
    <w:rsid w:val="00FA5758"/>
    <w:rsid w:val="00FB3E81"/>
    <w:rsid w:val="00FB7150"/>
    <w:rsid w:val="00FC071D"/>
    <w:rsid w:val="00FC1C69"/>
    <w:rsid w:val="00FD2FDE"/>
    <w:rsid w:val="00FD32EF"/>
    <w:rsid w:val="00FD3610"/>
    <w:rsid w:val="00FD4073"/>
    <w:rsid w:val="00FD45D5"/>
    <w:rsid w:val="00FD6250"/>
    <w:rsid w:val="00FE465B"/>
    <w:rsid w:val="00FE663D"/>
    <w:rsid w:val="00FE6658"/>
    <w:rsid w:val="00FE7795"/>
    <w:rsid w:val="00FF0DDD"/>
    <w:rsid w:val="00FF213A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289252"/>
  <w15:docId w15:val="{828155D0-23BE-43E9-B472-773B1C9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cs="Times New Roman"/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iCs/>
      <w:color w:val="FF0000"/>
      <w:spacing w:val="10"/>
      <w:u w:val="single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cs="Times New Roman"/>
      <w:b/>
      <w:szCs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both"/>
      <w:outlineLvl w:val="5"/>
    </w:pPr>
    <w:rPr>
      <w:rFonts w:cs="Times New Roman"/>
      <w:b/>
      <w:i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cs="Times New Roman"/>
    </w:rPr>
  </w:style>
  <w:style w:type="paragraph" w:styleId="Tekstpodstawowy">
    <w:name w:val="Body Text"/>
    <w:basedOn w:val="Normalny"/>
    <w:semiHidden/>
    <w:pPr>
      <w:jc w:val="both"/>
    </w:pPr>
    <w:rPr>
      <w:rFonts w:cs="Times New Roman"/>
      <w:b/>
      <w:szCs w:val="20"/>
    </w:rPr>
  </w:style>
  <w:style w:type="paragraph" w:customStyle="1" w:styleId="Tekstpodstawowy31">
    <w:name w:val="Tekst podstawowy 31"/>
    <w:basedOn w:val="Normalny"/>
    <w:pPr>
      <w:jc w:val="center"/>
    </w:pPr>
    <w:rPr>
      <w:rFonts w:cs="Times New Roman"/>
      <w:sz w:val="28"/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snapToGrid w:val="0"/>
      <w:szCs w:val="20"/>
    </w:rPr>
  </w:style>
  <w:style w:type="paragraph" w:styleId="Tekstpodstawowywcity3">
    <w:name w:val="Body Text Indent 3"/>
    <w:basedOn w:val="Normalny"/>
    <w:semiHidden/>
    <w:pPr>
      <w:spacing w:before="60"/>
      <w:ind w:left="357"/>
      <w:jc w:val="both"/>
    </w:pPr>
    <w:rPr>
      <w:rFonts w:ascii="Arial" w:hAnsi="Arial"/>
      <w:spacing w:val="10"/>
    </w:rPr>
  </w:style>
  <w:style w:type="paragraph" w:customStyle="1" w:styleId="FR2">
    <w:name w:val="FR2"/>
    <w:pPr>
      <w:widowControl w:val="0"/>
      <w:spacing w:line="360" w:lineRule="auto"/>
      <w:ind w:left="120" w:firstLine="160"/>
      <w:jc w:val="both"/>
    </w:pPr>
    <w:rPr>
      <w:rFonts w:ascii="Arial" w:hAnsi="Arial"/>
      <w:i/>
      <w:snapToGrid w:val="0"/>
      <w:sz w:val="24"/>
    </w:rPr>
  </w:style>
  <w:style w:type="paragraph" w:styleId="Tekstpodstawowywcity">
    <w:name w:val="Body Text Indent"/>
    <w:basedOn w:val="Normalny"/>
    <w:semiHidden/>
    <w:pPr>
      <w:widowControl w:val="0"/>
      <w:spacing w:before="120"/>
      <w:ind w:left="284" w:hanging="284"/>
      <w:jc w:val="both"/>
    </w:pPr>
    <w:rPr>
      <w:rFonts w:cs="Times New Roman"/>
      <w:snapToGrid w:val="0"/>
      <w:szCs w:val="20"/>
    </w:rPr>
  </w:style>
  <w:style w:type="paragraph" w:styleId="Tekstpodstawowywcity2">
    <w:name w:val="Body Text Indent 2"/>
    <w:basedOn w:val="Normalny"/>
    <w:semiHidden/>
    <w:pPr>
      <w:widowControl w:val="0"/>
      <w:ind w:left="280" w:hanging="280"/>
    </w:pPr>
    <w:rPr>
      <w:rFonts w:cs="Times New Roman"/>
      <w:snapToGrid w:val="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bCs/>
      <w:i/>
      <w:iCs/>
      <w:color w:val="FF0000"/>
      <w:spacing w:val="10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2435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3F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73F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66D90"/>
    <w:rPr>
      <w:color w:val="0000FF"/>
      <w:u w:val="single"/>
    </w:rPr>
  </w:style>
  <w:style w:type="paragraph" w:customStyle="1" w:styleId="Tekstpodstawowy310">
    <w:name w:val="Tekst podstawowy 31"/>
    <w:basedOn w:val="Normalny"/>
    <w:rsid w:val="00657B45"/>
    <w:pPr>
      <w:jc w:val="both"/>
    </w:pPr>
    <w:rPr>
      <w:rFonts w:cs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06708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029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029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911C3-F3D3-499E-B740-8B369B2F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16</Pages>
  <Words>6148</Words>
  <Characters>36893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PFRON</Company>
  <LinksUpToDate>false</LinksUpToDate>
  <CharactersWithSpaces>42956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**</dc:creator>
  <cp:lastModifiedBy>Jolanta Kaminska</cp:lastModifiedBy>
  <cp:revision>36</cp:revision>
  <cp:lastPrinted>2019-06-13T11:23:00Z</cp:lastPrinted>
  <dcterms:created xsi:type="dcterms:W3CDTF">2018-12-02T14:11:00Z</dcterms:created>
  <dcterms:modified xsi:type="dcterms:W3CDTF">2019-06-18T06:30:00Z</dcterms:modified>
</cp:coreProperties>
</file>