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40" w:after="120"/>
        <w:jc w:val="lef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iCs w:val="false"/>
          <w:color w:val="2F5496" w:themeColor="accent1" w:themeShade="bf"/>
          <w:sz w:val="40"/>
          <w:szCs w:val="40"/>
          <w:highlight w:val="white"/>
        </w:rPr>
      </w:pPr>
      <w:bookmarkStart w:id="0" w:name="_Toc144273062"/>
      <w:r>
        <w:rPr>
          <w:rStyle w:val="Wyrnienie"/>
          <w:rFonts w:cs="Calibri" w:cstheme="minorHAnsi"/>
          <w:b/>
          <w:bCs/>
          <w:i w:val="false"/>
          <w:iCs w:val="false"/>
          <w:color w:val="2F5496" w:themeColor="accent1" w:themeShade="bf"/>
          <w:sz w:val="44"/>
          <w:szCs w:val="44"/>
          <w:shd w:fill="FFFFFF" w:val="clear"/>
        </w:rPr>
        <w:t>ANALIZA DANYCH Z BADANIA SONDAŻOWEGO</w:t>
      </w:r>
      <w:r>
        <w:rPr>
          <w:rStyle w:val="Wyrnienie"/>
          <w:rFonts w:cs="Calibri" w:cstheme="minorHAnsi"/>
          <w:i w:val="false"/>
          <w:iCs w:val="false"/>
          <w:color w:val="2F5496" w:themeColor="accent1" w:themeShade="bf"/>
          <w:sz w:val="44"/>
          <w:szCs w:val="44"/>
          <w:shd w:fill="FFFFFF" w:val="clear"/>
        </w:rPr>
        <w:t xml:space="preserve"> </w:t>
      </w:r>
      <w:r>
        <w:rPr>
          <w:rStyle w:val="Wyrnienie"/>
          <w:rFonts w:cs="Calibri" w:cstheme="minorHAnsi"/>
          <w:i w:val="false"/>
          <w:iCs w:val="false"/>
          <w:color w:val="2F5496" w:themeColor="accent1" w:themeShade="bf"/>
          <w:sz w:val="40"/>
          <w:szCs w:val="40"/>
          <w:shd w:fill="FFFFFF" w:val="clear"/>
        </w:rPr>
        <w:t xml:space="preserve">DOTYCZĄCEGO ZAINTERESOWANIA WARSZTATÓW TERAPII ZAJĘCIOWEJ UDZIAŁEM W PILOTAŻU STANDARDÓW FUNKCJONOWANIA WTZ  </w:t>
      </w:r>
    </w:p>
    <w:p>
      <w:pPr>
        <w:pStyle w:val="Normal"/>
        <w:pBdr>
          <w:bottom w:val="single" w:sz="4" w:space="1" w:color="000000"/>
        </w:pBdr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989" w:leader="none"/>
        </w:tabs>
        <w:spacing w:lineRule="auto" w:line="360" w:before="120" w:after="120"/>
        <w:jc w:val="left"/>
        <w:rPr>
          <w:rStyle w:val="IntenseReference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Style w:val="IntenseReference"/>
          <w:b w:val="false"/>
          <w:bCs w:val="false"/>
          <w:i/>
          <w:iCs/>
          <w:color w:val="auto"/>
          <w:sz w:val="28"/>
          <w:szCs w:val="28"/>
        </w:rPr>
        <w:t xml:space="preserve">Opracowanie W Ramach Projektu „Aktywni Niepełnosprawni – Narzędzia Wsparcia Samodzielności Osób Niepełnosprawnych” </w:t>
        <w:br/>
        <w:t xml:space="preserve">Realizowanego W Ramach Programu Operacyjnego Wiedza Edukacja Rozwój 2014-2020, Działanie 2.6 Wysoka Jakość Polityki Na Rzecz Włączenia Społecznego I Zawodowego Osób Niepełnosprawnych, Współfinansowanego </w:t>
        <w:br/>
        <w:t>Z Europejskiego Funduszu Społecznego.</w:t>
      </w:r>
    </w:p>
    <w:p>
      <w:pPr>
        <w:pStyle w:val="Normal"/>
        <w:tabs>
          <w:tab w:val="clear" w:pos="708"/>
          <w:tab w:val="left" w:pos="989" w:leader="none"/>
        </w:tabs>
        <w:spacing w:lineRule="auto" w:line="360" w:before="12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989" w:leader="none"/>
        </w:tabs>
        <w:spacing w:lineRule="auto" w:line="360" w:before="12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989" w:leader="none"/>
        </w:tabs>
        <w:spacing w:lineRule="auto" w:line="360" w:before="12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GRZEGORZ ŻUCHOWSKI</w:t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Warszawa, marzec 2021 r.</w:t>
      </w:r>
    </w:p>
    <w:p>
      <w:pPr>
        <w:pStyle w:val="Normal"/>
        <w:spacing w:lineRule="auto" w:line="259" w:before="0" w:after="160"/>
        <w:jc w:val="left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Nagwek1"/>
        <w:numPr>
          <w:ilvl w:val="0"/>
          <w:numId w:val="0"/>
        </w:numPr>
        <w:shd w:fill="808080" w:val="clear"/>
        <w:spacing w:lineRule="auto" w:line="276"/>
        <w:rPr>
          <w:szCs w:val="24"/>
        </w:rPr>
      </w:pPr>
      <w:bookmarkStart w:id="1" w:name="_Toc144273062"/>
      <w:bookmarkStart w:id="2" w:name="_Toc67924580"/>
      <w:r>
        <w:rPr>
          <w:caps w:val="false"/>
          <w:smallCaps w:val="false"/>
          <w:szCs w:val="24"/>
        </w:rPr>
        <w:t>WYNIKI BADANIA SONDAŻOWEGO</w:t>
      </w:r>
      <w:bookmarkEnd w:id="1"/>
      <w:bookmarkEnd w:id="2"/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ramach projektu „Aktywni niepełnosprawni – narzędzia wsparcia samodzielności osób niepełnosprawnych” w dniach 11 – 24 marca 2021 roku zostało przeprowadzone badanie sondażowe Warsztatów Terapii Zajęciowej. Celem sondażu była ocena stopnia zainteresowania przedstawicieli WTZ udziałem w pilotażu standardów funkcjonowania WTZ. 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Standardy wypracowane w ramach w/w projektu będą uwzględniać przede wszystkim: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wytyczne dotyczące opracowania indywidualnych programów rehabilitacji (IPR) uczestników oraz ich wdrażania,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zasady i metody mierzenia postępów prowadzonej terapii w kontekście IPR oraz jej efektywności,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wytyczne w zakresie szkolenia i rozwoju kadr WTZ,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programy szkoleniowe,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specyfikację sprzętu niezbędnego do ich wdrożenia. Wyniki sondażu posłużą również przygotowaniu kryteriów naboru WTZ do projektu.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Warsztaty, które zakwalifikują się do pilotażu standardów, będą mogły ubiegać się o środki finansowe w wysokości do 65 000 zł, na doposażenie placówki w sprzęt niezbędny do prowadzenia rehabilitacji zgodnie z wypracowanymi standardami.</w:t>
      </w:r>
    </w:p>
    <w:p>
      <w:pPr>
        <w:pStyle w:val="Normal"/>
        <w:spacing w:lineRule="auto" w:line="276" w:before="24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Badanie zrealizowano metodą CAWI, rozsyłając do wszystkich działających warsztatów (720 – wg stanu na 31.12.2019 r.) zaproszenie do udziału w sondażu. </w:t>
      </w:r>
    </w:p>
    <w:p>
      <w:pPr>
        <w:pStyle w:val="Normal"/>
        <w:spacing w:lineRule="auto" w:line="259" w:before="0" w:after="1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spacing w:lineRule="auto" w:line="276" w:before="24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badaniu wzięło udział 477 WTZ, to jest 66,3% ogółu badanych. Zdecydowana większość WTZ (77,8%) wyraziła zainteresowanie udziałem w pilotażu nowych standardów dla WTZ. 22% badanych udzieliło odpowiedzi „Trudno powiedzieć/nie mam zdania”. Tylko 1 warsztat nie jest zainteresowany udziałem w pilotażu. Motywując brak zainteresowania przedstawiciel WTZ stwierdził </w:t>
      </w:r>
      <w:r>
        <w:rPr>
          <w:rFonts w:cs="Calibri" w:cstheme="minorHAnsi"/>
          <w:color w:val="2F5496" w:themeColor="accent1" w:themeShade="bf"/>
          <w:sz w:val="24"/>
          <w:szCs w:val="24"/>
        </w:rPr>
        <w:t>„</w:t>
      </w:r>
      <w:r>
        <w:rPr>
          <w:rFonts w:cs="Calibri" w:cstheme="minorHAnsi"/>
          <w:i/>
          <w:iCs/>
          <w:color w:val="2F5496" w:themeColor="accent1" w:themeShade="bf"/>
          <w:sz w:val="24"/>
          <w:szCs w:val="24"/>
        </w:rPr>
        <w:t>Nie widzę takiej potrzeby w przypadku uczestników naszego WTZ. Przewiduję, że udział będzie wiązał się z dodatkową biurokracją, a tego chciałabym uniknąć</w:t>
      </w:r>
      <w:r>
        <w:rPr>
          <w:rFonts w:cs="Calibri" w:cstheme="minorHAnsi"/>
          <w:color w:val="2F5496" w:themeColor="accent1" w:themeShade="bf"/>
          <w:sz w:val="24"/>
          <w:szCs w:val="24"/>
        </w:rPr>
        <w:t>”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keepNext w:val="true"/>
        <w:spacing w:lineRule="auto" w:line="276" w:before="24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Wykres 1.</w:t>
      </w:r>
      <w:r>
        <w:rPr>
          <w:rFonts w:cs="Calibri" w:cstheme="minorHAnsi"/>
          <w:sz w:val="24"/>
          <w:szCs w:val="24"/>
        </w:rPr>
        <w:t xml:space="preserve"> Czy są Państwo zainteresowani udziałem w pilotażu nowych standardów dla WTZ, służących wzmacnianiu niezależnego życia uczestników WTZ?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  <w:drawing>
          <wp:inline distT="0" distB="0" distL="0" distR="0">
            <wp:extent cx="4248150" cy="23482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76" w:before="0" w:after="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każdym z województw w sondażu udział wzięła ponad polowa stanu liczebnego WTZ. Najwięcej z województwa podkarpackiego – 95% ogólnej liczby WTZ oraz z województwa lubuskiego – 84% liczby WTZ w województwie. Najmniej (statystycznie) ankiet wypełniły warsztaty z województwa dolnośląskiego i podlaskiego – po 52% WTZ oraz z województwa śląskiego – 54% warsztatów. </w:t>
      </w:r>
    </w:p>
    <w:p>
      <w:pPr>
        <w:pStyle w:val="Normal"/>
        <w:keepNext w:val="true"/>
        <w:spacing w:lineRule="auto" w:line="276" w:before="240" w:after="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Tabela 1.</w:t>
      </w:r>
      <w:r>
        <w:rPr>
          <w:rFonts w:cs="Calibri" w:cstheme="minorHAnsi"/>
          <w:sz w:val="24"/>
          <w:szCs w:val="24"/>
        </w:rPr>
        <w:t xml:space="preserve"> Udział WTZ w sondażu według województw</w:t>
      </w:r>
    </w:p>
    <w:tbl>
      <w:tblPr>
        <w:tblW w:w="90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97"/>
        <w:gridCol w:w="2127"/>
        <w:gridCol w:w="2126"/>
        <w:gridCol w:w="1416"/>
      </w:tblGrid>
      <w:tr>
        <w:trPr>
          <w:tblHeader w:val="true"/>
          <w:trHeight w:val="255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Województwo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 xml:space="preserve">Liczba WTZ </w:t>
              <w:br/>
              <w:t>ogółem</w:t>
            </w:r>
            <w:r>
              <w:rPr>
                <w:rStyle w:val="FootnoteCharacters"/>
                <w:rStyle w:val="Zakotwiczenieprzypisudolnego"/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Liczba WTZ uczestniczących w sondażu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[%]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dolnośląskie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52%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kujawsko-pomorskie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72%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lubelskie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59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63%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lubuskie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16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84%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łódzkie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41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59%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małopolskie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68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51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75%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mazowieckie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84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47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56%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opolskie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73%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podkarpackie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37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35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podlaskie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52%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pomorskie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58%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śląskie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59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32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54%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świętokrzyskie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64%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warmińsko-mazurskie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69%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wielkopolskie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89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67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75%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zachodniopomorskie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71%</w:t>
            </w:r>
          </w:p>
        </w:tc>
      </w:tr>
      <w:tr>
        <w:trPr>
          <w:trHeight w:val="255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40" w:after="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Razem/udział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724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477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40" w:after="4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66%</w:t>
            </w:r>
          </w:p>
        </w:tc>
      </w:tr>
    </w:tbl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0"/>
        <w:ind w:right="-113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Wykresie 2 uwzględniającym podział administracyjny kraju (województwa) przedstawiono poziom zainteresowania warsztatów udziałem w pilotażu nowych standardów dla WTZ. </w:t>
      </w:r>
    </w:p>
    <w:p>
      <w:pPr>
        <w:pStyle w:val="Normal"/>
        <w:spacing w:lineRule="auto" w:line="276" w:before="0" w:after="0"/>
        <w:ind w:right="-113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każdym z województw zdecydowanie przeważają warsztaty zainteresowane udziałem w pilotażu standardów WTZ. </w:t>
      </w:r>
    </w:p>
    <w:p>
      <w:pPr>
        <w:pStyle w:val="Normal"/>
        <w:keepNext w:val="true"/>
        <w:spacing w:lineRule="auto" w:line="276" w:before="24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Wykres 2.</w:t>
      </w:r>
      <w:r>
        <w:rPr>
          <w:rFonts w:cs="Calibri" w:cstheme="minorHAnsi"/>
          <w:sz w:val="24"/>
          <w:szCs w:val="24"/>
        </w:rPr>
        <w:t xml:space="preserve"> Gotowość WTZ do uczestnictwa w pilotażu standardów według województw</w:t>
      </w:r>
    </w:p>
    <w:p>
      <w:pPr>
        <w:pStyle w:val="Normal"/>
        <w:spacing w:lineRule="auto" w:line="276" w:before="0" w:after="0"/>
        <w:ind w:right="-11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  <w:drawing>
          <wp:inline distT="0" distB="0" distL="0" distR="0">
            <wp:extent cx="5457825" cy="44335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76" w:before="0" w:after="0"/>
        <w:ind w:right="-113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</w:rPr>
        <w:t>N = 477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Najczęściej uczestnicy badania jako miejsce swojej siedziby wskazywali wieś (28,9%), oraz miasto poniżej 20 tysięcy mieszkańców (23,7%). Najrzadziej, największe ośrodki miejskie – miasta powyżej 200 tysięcy mieszkańców były siedzibą dla niespełna 13% uczestników sondażu. Z poniższej tabeli wynika, że wraz ze wzrostem wielkości miejscowości maleje liczba WTZ. Wyjątek stanowią WTZ, których siedziba mieści się w </w:t>
      </w:r>
      <w:r>
        <w:rPr>
          <w:rFonts w:cs="Calibri" w:cstheme="minorHAnsi"/>
          <w:b/>
          <w:bCs/>
          <w:sz w:val="24"/>
          <w:szCs w:val="24"/>
        </w:rPr>
        <w:t>miastach powyżej 200 do 500 tysięcy mieszkańców</w:t>
      </w:r>
      <w:r>
        <w:rPr>
          <w:rFonts w:cs="Calibri" w:cstheme="minorHAnsi"/>
          <w:sz w:val="24"/>
          <w:szCs w:val="24"/>
        </w:rPr>
        <w:t>, gdzie liczba działających warsztatów jest najmniejsza. Jako, że w badaniu wzięło udział 2/3 wszystkich WTZ można przyjąć, że nie zachodzą znaczące różnice w tym kontekście dla całej populacji warsztatów.</w:t>
      </w:r>
    </w:p>
    <w:p>
      <w:pPr>
        <w:pStyle w:val="Normal"/>
        <w:keepNext w:val="true"/>
        <w:spacing w:lineRule="auto" w:line="276" w:before="0" w:after="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Tabela 2.</w:t>
      </w:r>
      <w:r>
        <w:rPr>
          <w:rFonts w:cs="Calibri" w:cstheme="minorHAnsi"/>
          <w:sz w:val="24"/>
          <w:szCs w:val="24"/>
        </w:rPr>
        <w:t xml:space="preserve"> WTZ uczestnicy sondażu według siedziby</w:t>
      </w:r>
    </w:p>
    <w:tbl>
      <w:tblPr>
        <w:tblW w:w="90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32"/>
        <w:gridCol w:w="1418"/>
        <w:gridCol w:w="1417"/>
      </w:tblGrid>
      <w:tr>
        <w:trPr>
          <w:tblHeader w:val="true"/>
          <w:trHeight w:val="255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center"/>
              <w:rPr>
                <w:rFonts w:cs="Calibr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Siedziba WTZ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center"/>
              <w:rPr>
                <w:rFonts w:cs="Calibr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Liczba WTZ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center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[%]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wieś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138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28,9%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miasto poniżej 20 tysięcy mieszkańców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113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23,7%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miasto powyżej 20 do 50 tysięcy mieszkańców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19,3%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miasto powyżej 50 do 200 tysięcy mieszkańców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15,3%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miasto powyżej 200 do 500 tysięcy mieszkańców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5,2%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miasto powyżej 500 tysięcy mieszkańców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 w:bidi="ar-SA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7,5%</w:t>
            </w:r>
          </w:p>
        </w:tc>
      </w:tr>
      <w:tr>
        <w:trPr>
          <w:trHeight w:val="255" w:hRule="atLeast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477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100,0%</w:t>
            </w:r>
          </w:p>
        </w:tc>
      </w:tr>
    </w:tbl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0"/>
        <w:ind w:right="-113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Jak wynika z danych przedstawionych na poniższym wykresie w każdej z podkategorii miejscowości – siedziby WTZ – zdecydowana większość warsztatów wskazała gotowość udziału w pilotażu standardów WTZ. Odpowiedź „Tak” wskazało od 67% </w:t>
      </w:r>
      <w:r>
        <w:rPr>
          <w:rFonts w:cs="Calibri" w:cstheme="minorHAnsi"/>
          <w:color w:val="2F5496" w:themeColor="accent1" w:themeShade="bf"/>
          <w:sz w:val="24"/>
          <w:szCs w:val="24"/>
        </w:rPr>
        <w:t>(WTZ z siedzibą w miastach powyżej 500 tys. mieszkańców)</w:t>
      </w:r>
      <w:r>
        <w:rPr>
          <w:rFonts w:cs="Calibri" w:cstheme="minorHAnsi"/>
          <w:sz w:val="24"/>
          <w:szCs w:val="24"/>
        </w:rPr>
        <w:t xml:space="preserve"> do 92% </w:t>
      </w:r>
      <w:r>
        <w:rPr>
          <w:rFonts w:cs="Calibri" w:cstheme="minorHAnsi"/>
          <w:color w:val="2F5496" w:themeColor="accent1" w:themeShade="bf"/>
          <w:sz w:val="24"/>
          <w:szCs w:val="24"/>
        </w:rPr>
        <w:t>(WTZ z siedzibą w miastach powyżej 200 do 500 tys. mieszkańców)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keepNext w:val="true"/>
        <w:spacing w:lineRule="auto" w:line="276" w:before="24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Wykres 3.</w:t>
      </w:r>
      <w:r>
        <w:rPr>
          <w:rFonts w:cs="Calibri" w:cstheme="minorHAnsi"/>
          <w:sz w:val="24"/>
          <w:szCs w:val="24"/>
        </w:rPr>
        <w:t xml:space="preserve"> Gotowość WTZ do uczestnictwa w pilotażu standardów według siedziby WTZ</w:t>
      </w:r>
    </w:p>
    <w:p>
      <w:pPr>
        <w:pStyle w:val="Normal"/>
        <w:spacing w:lineRule="auto" w:line="276" w:before="0" w:after="0"/>
        <w:ind w:right="-11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  <w:drawing>
          <wp:inline distT="0" distB="0" distL="0" distR="0">
            <wp:extent cx="5448300" cy="305308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76" w:before="0" w:after="0"/>
        <w:ind w:right="-113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</w:rPr>
        <w:t>N = 477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80% WTZ uczestniczących w badaniu sondażowym jest prowadzona przez podmioty niezaliczane do sektora finansów publicznych. Są to głównie organizacje pozarządowe (71,9%) a ponadto organizacje wyznaniowe oraz pracodawczy otwartego i chronionego rynku pracy. 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19% warsztatów, uczestników badania jest prowadzonych przez podmioty zaliczane do sektora finansów publicznych. To przede wszystkim: Urzędy Gmin, Ośrodki Pomocy Społecznej oraz Domy Pomocy Społecznej.</w:t>
      </w:r>
    </w:p>
    <w:p>
      <w:pPr>
        <w:pStyle w:val="Normal"/>
        <w:spacing w:lineRule="auto" w:line="276" w:before="240" w:after="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Tabela 3.</w:t>
      </w:r>
      <w:r>
        <w:rPr>
          <w:rFonts w:cs="Calibri" w:cstheme="minorHAnsi"/>
          <w:sz w:val="24"/>
          <w:szCs w:val="24"/>
        </w:rPr>
        <w:t xml:space="preserve"> WTZ uczestniczące w sondażu według jednostek prowadzących</w:t>
      </w:r>
    </w:p>
    <w:tbl>
      <w:tblPr>
        <w:tblW w:w="90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07"/>
        <w:gridCol w:w="1701"/>
        <w:gridCol w:w="1559"/>
      </w:tblGrid>
      <w:tr>
        <w:trPr>
          <w:tblHeader w:val="true"/>
          <w:trHeight w:val="255" w:hRule="atLeast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Jednostka prowadząca WTZ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[%]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Organizacja pozarządowa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71,9%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Urząd Gminy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9,6%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Organizacja wyznaniowa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6,7%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Ośrodek Pomocy Społecznej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4,4%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Dom Pomocy Społecznej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4,0%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Pracodawca otwartego rynku pracy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0,6%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Zakład pracy chronionej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0,4%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Placówka opieki zdrowotnej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0,4%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Placówka edukacyjna lub wychowawcza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0,4%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Zakład aktywności zawodowej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0,2%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Inne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pl-PL" w:bidi="ar-S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sz w:val="24"/>
                <w:szCs w:val="24"/>
                <w:lang w:eastAsia="pl-PL" w:bidi="ar-SA"/>
              </w:rPr>
              <w:t>1,3%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477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100,0%</w:t>
            </w:r>
          </w:p>
        </w:tc>
      </w:tr>
    </w:tbl>
    <w:p>
      <w:pPr>
        <w:pStyle w:val="Normal"/>
        <w:spacing w:lineRule="auto" w:line="276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Uczestnikami warsztatów biorących udział w sondażu w zdecydowanej większości są osoby niepełnosprawne intelektualnie (58,1%). Dużą grupę stanowią także osoby z chorobą psychiczną (18,7%). Pozostałe kategorie uczestników nie przekraczają 7% udziału w populacji. </w:t>
      </w:r>
    </w:p>
    <w:p>
      <w:pPr>
        <w:pStyle w:val="Normal"/>
        <w:keepNext w:val="true"/>
        <w:spacing w:lineRule="auto" w:line="276" w:before="0" w:after="6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Tabela 4.</w:t>
      </w:r>
      <w:r>
        <w:rPr>
          <w:rFonts w:cs="Calibri" w:cstheme="minorHAnsi"/>
          <w:sz w:val="24"/>
          <w:szCs w:val="24"/>
        </w:rPr>
        <w:t xml:space="preserve"> Liczba uczestników badanych WTZ według głównego rodzaju niepełnosprawności</w:t>
      </w:r>
    </w:p>
    <w:tbl>
      <w:tblPr>
        <w:tblW w:w="89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07"/>
        <w:gridCol w:w="1700"/>
        <w:gridCo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center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R</w:t>
            </w:r>
            <w:r>
              <w:rPr>
                <w:b/>
                <w:bCs/>
                <w:color w:val="000000"/>
                <w:sz w:val="24"/>
                <w:szCs w:val="24"/>
                <w:lang w:eastAsia="pl-PL" w:bidi="ar-SA"/>
              </w:rPr>
              <w:t>odzaj niepełnosprawności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jc w:val="center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  <w:lang w:eastAsia="pl-PL" w:bidi="ar-SA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pl-PL" w:bidi="ar-SA"/>
              </w:rPr>
              <w:t>czestnicy WTZ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center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eastAsia="pl-PL" w:bidi="ar-SA"/>
              </w:rPr>
              <w:t>[%]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Niepełnosprawność intelektualna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10 774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58,1%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Choroba psychiczna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3 460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18,7%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Niepełnosprawność narządu ruchu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1 218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6,6%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Epilepsja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661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3,6%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Niepełnosprawność narządu wzroku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375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2,0%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Niepełnosprawność narządu słuchu i mowy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370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2,0%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Inne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1 673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spacing w:lineRule="auto" w:line="240" w:before="40" w:after="40"/>
              <w:ind w:left="57" w:right="57" w:hanging="0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>9,0%</w:t>
            </w:r>
          </w:p>
        </w:tc>
      </w:tr>
      <w:tr>
        <w:trPr>
          <w:trHeight w:val="255" w:hRule="atLeast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lef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Razem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18 531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0" w:after="40"/>
              <w:ind w:left="57" w:right="57" w:hanging="0"/>
              <w:jc w:val="right"/>
              <w:rPr>
                <w:rFonts w:cs="Calibri"/>
                <w:b/>
                <w:b/>
                <w:bCs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100,0%</w:t>
            </w:r>
          </w:p>
        </w:tc>
      </w:tr>
    </w:tbl>
    <w:p>
      <w:pPr>
        <w:pStyle w:val="Normal"/>
        <w:spacing w:lineRule="auto" w:line="276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Jak wynika z poniższego wykresu praktycznie na przestrzeni kilkunastu lat nie zaszły znaczące zmiany w strukturze niepełnosprawności uczestników Warsztatów Terapii Zajęciowej. Dominującą niepełnosprawnością była i jest niepełnosprawność intelektualna. Znacząca choć blisko trzykrotnie mniejsza wśród uczestników WTZ była i jest niepełnosprawność psychiczna. </w:t>
      </w:r>
    </w:p>
    <w:p>
      <w:pPr>
        <w:pStyle w:val="Normal"/>
        <w:keepNext w:val="true"/>
        <w:spacing w:lineRule="auto" w:line="276" w:before="24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Wykres 4.</w:t>
      </w:r>
      <w:r>
        <w:rPr>
          <w:rFonts w:cs="Calibri" w:cstheme="minorHAnsi"/>
          <w:sz w:val="24"/>
          <w:szCs w:val="24"/>
        </w:rPr>
        <w:t xml:space="preserve"> Uczestnicy WTZ według głównego rodzaju niepełnosprawności w latach 2008-2021</w:t>
      </w:r>
    </w:p>
    <w:p>
      <w:pPr>
        <w:pStyle w:val="Normal"/>
        <w:keepNext w:val="true"/>
        <w:spacing w:lineRule="auto" w:line="276" w:before="0" w:after="120"/>
        <w:ind w:right="-57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  <w:drawing>
          <wp:inline distT="0" distB="0" distL="0" distR="0">
            <wp:extent cx="5381625" cy="321500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lineRule="auto" w:line="276" w:before="0" w:after="0"/>
        <w:ind w:right="-113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</w:rPr>
        <w:t>Źródło: Obliczenia własne na podstawie wyników badań ankietowych z 2008, 2014 i 2021 roku (N=539, 458, 472)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ind w:right="-113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agwek1"/>
        <w:keepNext w:val="true"/>
        <w:numPr>
          <w:ilvl w:val="0"/>
          <w:numId w:val="0"/>
        </w:numPr>
        <w:shd w:fill="808080" w:val="clear"/>
        <w:spacing w:lineRule="auto" w:line="276"/>
        <w:rPr>
          <w:szCs w:val="24"/>
        </w:rPr>
      </w:pPr>
      <w:r>
        <w:rPr>
          <w:rFonts w:cs="Calibri" w:cstheme="minorHAnsi"/>
          <w:szCs w:val="24"/>
        </w:rPr>
        <w:t xml:space="preserve">Podsumowanie </w:t>
      </w:r>
    </w:p>
    <w:p>
      <w:pPr>
        <w:pStyle w:val="Normal"/>
        <w:keepNext w:val="true"/>
        <w:spacing w:lineRule="auto" w:line="276" w:before="0" w:after="120"/>
        <w:ind w:right="-113" w:hanging="0"/>
        <w:jc w:val="left"/>
        <w:rPr>
          <w:sz w:val="24"/>
          <w:szCs w:val="24"/>
        </w:rPr>
      </w:pPr>
      <w:r>
        <w:rPr>
          <w:sz w:val="24"/>
          <w:szCs w:val="24"/>
        </w:rPr>
        <w:t>Celem badania sondażowego było pozyskanie:</w:t>
      </w:r>
    </w:p>
    <w:p>
      <w:pPr>
        <w:pStyle w:val="ListParagraph"/>
        <w:keepNext w:val="true"/>
        <w:numPr>
          <w:ilvl w:val="0"/>
          <w:numId w:val="3"/>
        </w:numPr>
        <w:spacing w:lineRule="auto" w:line="276" w:before="0" w:after="120"/>
        <w:ind w:left="567" w:right="-113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informacji o skali zainteresowania Warsztatów Terapii Zajęciowej uczestnictwem w pilotażu standardów WTZ, </w:t>
      </w:r>
    </w:p>
    <w:p>
      <w:pPr>
        <w:pStyle w:val="ListParagraph"/>
        <w:keepNext w:val="true"/>
        <w:numPr>
          <w:ilvl w:val="0"/>
          <w:numId w:val="3"/>
        </w:numPr>
        <w:spacing w:lineRule="auto" w:line="276" w:before="0" w:after="120"/>
        <w:ind w:left="567" w:right="-113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danych do opracowania kryteriów, niezbędnych do wyłonienia warsztatów, które wezmą udział w testowaniu standardów WTZ.</w:t>
      </w:r>
    </w:p>
    <w:p>
      <w:pPr>
        <w:pStyle w:val="Normal"/>
        <w:spacing w:lineRule="auto" w:line="276" w:before="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Badanie wykazało bardzo duże zainteresowanie warsztatów udziałem w pilotażu standardów WTZ – 4 na 5 badanych WTZ.  </w:t>
      </w:r>
    </w:p>
    <w:p>
      <w:pPr>
        <w:pStyle w:val="Normal"/>
        <w:spacing w:lineRule="auto" w:line="276" w:before="0" w:after="120"/>
        <w:ind w:right="-57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pozyskanych informacji wynika, że przy doborze WTZ do pilotażu standardów należy zwrócić uwagę na rodzaj niepełnosprawności jego uczestników, w szczególności na dominację wśród uczestników niepełnosprawności intelektualnej. Analiza danych wskazuje, że wiele WTZ jest pod tym względem jednorodnych. Brak uwzględnienia tego aspektu w wyborze WTZ do pilotażu może spowodować, że pilotaż standardów zostanie zdominowany przez te warsztaty, a co za tym idzie testowanie standardów nie będzie miarodajne dla całej populacji WTZ. Wypracowane wnioski i rekomendacje z pilotażu co do konieczności wdrożenia ewentualnych zmian w funkcjonowaniu tych placówek (tj. zmian, które mają poprawić ich skuteczność i efektywność) mogą okazać się nietrafione dla tej części warsztatów, w których większość uczestników stanowią osoby nieposiadające niepełnosprawności intelektualnej czy choroby psychicznej.  </w:t>
      </w:r>
    </w:p>
    <w:p>
      <w:pPr>
        <w:pStyle w:val="Normal"/>
        <w:keepNext w:val="true"/>
        <w:spacing w:lineRule="auto" w:line="276" w:before="0" w:after="120"/>
        <w:ind w:right="-113" w:hanging="0"/>
        <w:jc w:val="left"/>
        <w:rPr>
          <w:sz w:val="24"/>
          <w:szCs w:val="24"/>
        </w:rPr>
      </w:pPr>
      <w:r>
        <w:rPr>
          <w:sz w:val="24"/>
          <w:szCs w:val="24"/>
        </w:rPr>
        <w:t>W badaniu sondażowym chęć udziału w pilotażu standardów WTZ wyraziło 82% podmiotów sektora niepublicznego i 18% podmiotów sektora publicznego. Jest to bardzo zbliżony rozkład do ogółu WTZ</w:t>
      </w:r>
      <w:r>
        <w:rPr>
          <w:rStyle w:val="FootnoteCharacters"/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(83%; 17%). W tym aspekcie wyniki sondażu należy uznać jako reprezentatywne, a podział jednostek prowadzących WTZ na sektor finansów warto wziąć pod uwagę jako jedno z kryteriów naboru WTZ do pilotażu standardów. </w:t>
      </w:r>
    </w:p>
    <w:p>
      <w:pPr>
        <w:pStyle w:val="Normal"/>
        <w:spacing w:lineRule="auto" w:line="276" w:before="0" w:after="0"/>
        <w:ind w:right="-113" w:hanging="0"/>
        <w:jc w:val="left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9917778"/>
    </w:sdtPr>
    <w:sdtContent>
      <w:p>
        <w:pPr>
          <w:pStyle w:val="Stopka"/>
          <w:jc w:val="right"/>
          <w:rPr/>
        </w:pPr>
        <w:r>
          <w:rPr/>
        </w:r>
      </w:p>
    </w:sdtContent>
  </w:sdt>
  <w:tbl>
    <w:tblPr>
      <w:tblStyle w:val="Tabela-Siatka"/>
      <w:tblW w:w="10348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516"/>
      <w:gridCol w:w="1828"/>
      <w:gridCol w:w="1947"/>
      <w:gridCol w:w="3056"/>
    </w:tblGrid>
    <w:tr>
      <w:trPr/>
      <w:tc>
        <w:tcPr>
          <w:tcW w:w="351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opka"/>
            <w:spacing w:lineRule="auto" w:line="240" w:before="0" w:after="0"/>
            <w:jc w:val="center"/>
            <w:rPr/>
          </w:pPr>
          <w:r>
            <w:rPr/>
            <w:drawing>
              <wp:inline distT="0" distB="1905" distL="0" distR="0">
                <wp:extent cx="1924050" cy="550545"/>
                <wp:effectExtent l="0" t="0" r="0" b="0"/>
                <wp:docPr id="6" name="Obraz 19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9" descr="Logotyp Ministerstwa Rodziny i Polityki Społecz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8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opka"/>
            <w:spacing w:lineRule="auto" w:line="240" w:before="0" w:after="0"/>
            <w:jc w:val="center"/>
            <w:rPr/>
          </w:pPr>
          <w:r>
            <w:rPr/>
            <w:drawing>
              <wp:inline distT="0" distB="8890" distL="0" distR="3175">
                <wp:extent cx="644525" cy="772795"/>
                <wp:effectExtent l="0" t="0" r="0" b="0"/>
                <wp:docPr id="7" name="Obraz 20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20" descr="Logotyp Polskiego Stowarzyszenia Osób z Niepełnosprawnością Intelektualną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opka"/>
            <w:spacing w:lineRule="auto" w:line="240" w:before="0" w:after="0"/>
            <w:jc w:val="right"/>
            <w:rPr/>
          </w:pPr>
          <w:r>
            <w:rPr/>
            <w:drawing>
              <wp:inline distT="0" distB="7620" distL="0" distR="7620">
                <wp:extent cx="774065" cy="774065"/>
                <wp:effectExtent l="0" t="0" r="0" b="0"/>
                <wp:docPr id="8" name="Obraz 21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1" descr="Logotyp Fundacji im. Królowej Polski Świętej Jadwig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jc w:val="right"/>
            <w:rPr/>
          </w:pPr>
          <w:r>
            <w:rPr/>
            <w:drawing>
              <wp:inline distT="0" distB="9525" distL="0" distR="0">
                <wp:extent cx="1428750" cy="733425"/>
                <wp:effectExtent l="0" t="0" r="0" b="0"/>
                <wp:docPr id="9" name="Obraz 22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22" descr="Logotyp Państwowego Funduszu Rehabilitacji Osób Niepełnosprawny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60" w:after="6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Dane PFRON, stan na koniec 2019 roku</w:t>
      </w:r>
    </w:p>
  </w:footnote>
  <w:footnote w:id="3">
    <w:p>
      <w:pPr>
        <w:pStyle w:val="Przypisdolny"/>
        <w:spacing w:before="60" w:after="6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Dane według stanu na koniec 2019 roku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06110" cy="895350"/>
          <wp:effectExtent l="0" t="0" r="0" b="0"/>
          <wp:docPr id="5" name="Obraz 18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Obraz przedstawiający logotypy Fundusze Europejskie Wiedza Edukacja Rozwój oraz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4" w:space="1" w:color="000000"/>
      </w:pBdr>
      <w:spacing w:before="0" w:after="240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/>
      </w:rPr>
      <w:t>„</w:t>
    </w:r>
    <w:r>
      <w:rPr>
        <w:rFonts w:cs="Calibri" w:cstheme="minorHAnsi"/>
      </w:rPr>
      <w:t>Aktywni niepełnosprawni – narzędzia wsparcia samodzielności osób niepełnosprawnych”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432" w:hanging="432"/>
      </w:pPr>
      <w:rPr>
        <w:color w:val="FFFFFF"/>
      </w:rPr>
    </w:lvl>
    <w:lvl w:ilvl="1">
      <w:start w:val="1"/>
      <w:pStyle w:val="Nagwek2"/>
      <w:numFmt w:val="decimal"/>
      <w:lvlText w:val="%1.%2"/>
      <w:lvlJc w:val="left"/>
      <w:pPr>
        <w:ind w:left="718" w:hanging="576"/>
      </w:pPr>
    </w:lvl>
    <w:lvl w:ilvl="2">
      <w:start w:val="1"/>
      <w:pStyle w:val="Nagwek3"/>
      <w:numFmt w:val="decimal"/>
      <w:lvlText w:val="%1.%2.%3"/>
      <w:lvlJc w:val="left"/>
      <w:pPr>
        <w:ind w:left="100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decimal"/>
      <w:lvlText w:val="%1.%2.%3.%5"/>
      <w:lvlJc w:val="left"/>
      <w:pPr>
        <w:ind w:left="1008" w:hanging="1008"/>
      </w:pPr>
    </w:lvl>
    <w:lvl w:ilvl="5">
      <w:start w:val="1"/>
      <w:pStyle w:val="Nagwek6"/>
      <w:numFmt w:val="decimal"/>
      <w:lvlText w:val="%1.%2.%3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3a1e"/>
    <w:pPr>
      <w:widowControl/>
      <w:bidi w:val="0"/>
      <w:spacing w:lineRule="atLeast" w:line="240" w:before="60" w:after="6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bidi="en-US" w:val="pl-PL" w:eastAsia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9a5f25"/>
    <w:pPr>
      <w:numPr>
        <w:ilvl w:val="0"/>
        <w:numId w:val="1"/>
      </w:numPr>
      <w:pBdr>
        <w:top w:val="single" w:sz="24" w:space="1" w:color="7F7F7F"/>
        <w:left w:val="single" w:sz="24" w:space="4" w:color="7F7F7F"/>
        <w:bottom w:val="single" w:sz="24" w:space="0" w:color="7F7F7F"/>
        <w:right w:val="single" w:sz="24" w:space="4" w:color="7F7F7F"/>
      </w:pBdr>
      <w:shd w:val="clear" w:color="auto" w:fill="808080" w:themeFill="background1" w:themeFillShade="80"/>
      <w:spacing w:before="60" w:after="480"/>
      <w:outlineLvl w:val="0"/>
    </w:pPr>
    <w:rPr>
      <w:b/>
      <w:bCs/>
      <w:caps/>
      <w:color w:val="FFFFFF"/>
      <w:spacing w:val="15"/>
      <w:sz w:val="24"/>
      <w:szCs w:val="22"/>
    </w:rPr>
  </w:style>
  <w:style w:type="paragraph" w:styleId="Nagwek2">
    <w:name w:val="Heading 2"/>
    <w:basedOn w:val="Normal"/>
    <w:next w:val="Normal"/>
    <w:link w:val="Nagwek2Znak"/>
    <w:uiPriority w:val="9"/>
    <w:qFormat/>
    <w:rsid w:val="009246d7"/>
    <w:pPr>
      <w:numPr>
        <w:ilvl w:val="1"/>
        <w:numId w:val="1"/>
      </w:numPr>
      <w:pBdr>
        <w:bottom w:val="single" w:sz="8" w:space="1" w:color="808080"/>
      </w:pBdr>
      <w:spacing w:before="60" w:after="480"/>
      <w:ind w:left="284" w:hanging="284"/>
      <w:outlineLvl w:val="1"/>
    </w:pPr>
    <w:rPr>
      <w:b/>
      <w:color w:val="808080"/>
      <w:sz w:val="24"/>
      <w:szCs w:val="24"/>
      <w:lang w:bidi="ar-SA"/>
    </w:rPr>
  </w:style>
  <w:style w:type="paragraph" w:styleId="Nagwek3">
    <w:name w:val="Heading 3"/>
    <w:basedOn w:val="Normal"/>
    <w:next w:val="Normal"/>
    <w:link w:val="Nagwek3Znak"/>
    <w:uiPriority w:val="9"/>
    <w:qFormat/>
    <w:rsid w:val="009246d7"/>
    <w:pPr>
      <w:numPr>
        <w:ilvl w:val="2"/>
        <w:numId w:val="1"/>
      </w:numPr>
      <w:pBdr>
        <w:bottom w:val="dotted" w:sz="4" w:space="1" w:color="000000"/>
      </w:pBdr>
      <w:spacing w:before="0" w:after="480"/>
      <w:ind w:left="567" w:hanging="578"/>
      <w:outlineLvl w:val="2"/>
    </w:pPr>
    <w:rPr>
      <w:b/>
      <w:color w:val="7F7F7F"/>
      <w:spacing w:val="15"/>
      <w:sz w:val="22"/>
      <w:szCs w:val="22"/>
      <w:lang w:eastAsia="pl-PL"/>
    </w:rPr>
  </w:style>
  <w:style w:type="paragraph" w:styleId="Nagwek5">
    <w:name w:val="Heading 5"/>
    <w:basedOn w:val="Normal"/>
    <w:next w:val="Normal"/>
    <w:link w:val="Nagwek5Znak"/>
    <w:uiPriority w:val="9"/>
    <w:qFormat/>
    <w:rsid w:val="009246d7"/>
    <w:pPr>
      <w:numPr>
        <w:ilvl w:val="4"/>
        <w:numId w:val="1"/>
      </w:numPr>
      <w:pBdr>
        <w:bottom w:val="single" w:sz="6" w:space="1" w:color="672C38"/>
      </w:pBdr>
      <w:spacing w:before="300" w:after="0"/>
      <w:outlineLvl w:val="4"/>
    </w:pPr>
    <w:rPr>
      <w:caps/>
      <w:color w:val="4D2129"/>
      <w:spacing w:val="10"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qFormat/>
    <w:rsid w:val="009246d7"/>
    <w:pPr>
      <w:numPr>
        <w:ilvl w:val="5"/>
        <w:numId w:val="1"/>
      </w:numPr>
      <w:pBdr>
        <w:bottom w:val="dotted" w:sz="6" w:space="1" w:color="672C38"/>
      </w:pBdr>
      <w:spacing w:before="300" w:after="0"/>
      <w:outlineLvl w:val="5"/>
    </w:pPr>
    <w:rPr>
      <w:caps/>
      <w:color w:val="4D2129"/>
      <w:spacing w:val="10"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qFormat/>
    <w:rsid w:val="009246d7"/>
    <w:pPr>
      <w:numPr>
        <w:ilvl w:val="6"/>
        <w:numId w:val="1"/>
      </w:numPr>
      <w:spacing w:before="300" w:after="0"/>
      <w:outlineLvl w:val="6"/>
    </w:pPr>
    <w:rPr>
      <w:caps/>
      <w:color w:val="4D2129"/>
      <w:spacing w:val="10"/>
      <w:sz w:val="22"/>
      <w:szCs w:val="22"/>
    </w:rPr>
  </w:style>
  <w:style w:type="paragraph" w:styleId="Nagwek8">
    <w:name w:val="Heading 8"/>
    <w:basedOn w:val="Normal"/>
    <w:next w:val="Normal"/>
    <w:link w:val="Nagwek8Znak"/>
    <w:uiPriority w:val="9"/>
    <w:qFormat/>
    <w:rsid w:val="009246d7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qFormat/>
    <w:rsid w:val="009246d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a5f25"/>
    <w:rPr>
      <w:rFonts w:ascii="Calibri" w:hAnsi="Calibri" w:eastAsia="Times New Roman" w:cs="Times New Roman"/>
      <w:caps/>
      <w:color w:val="FFFFFF"/>
      <w:spacing w:val="15"/>
      <w:sz w:val="24"/>
      <w:shd w:fill="808080" w:val="clear"/>
      <w:lang w:bidi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246d7"/>
    <w:rPr>
      <w:rFonts w:ascii="Calibri" w:hAnsi="Calibri" w:eastAsia="Times New Roman" w:cs="Times New Roman"/>
      <w:b/>
      <w:color w:val="808080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246d7"/>
    <w:rPr>
      <w:rFonts w:ascii="Calibri" w:hAnsi="Calibri" w:eastAsia="Times New Roman" w:cs="Times New Roman"/>
      <w:b/>
      <w:color w:val="7F7F7F"/>
      <w:spacing w:val="15"/>
      <w:lang w:eastAsia="pl-PL" w:bidi="en-US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9246d7"/>
    <w:rPr>
      <w:rFonts w:ascii="Calibri" w:hAnsi="Calibri" w:eastAsia="Times New Roman" w:cs="Times New Roman"/>
      <w:caps/>
      <w:color w:val="4D2129"/>
      <w:spacing w:val="10"/>
      <w:lang w:bidi="en-US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9246d7"/>
    <w:rPr>
      <w:rFonts w:ascii="Calibri" w:hAnsi="Calibri" w:eastAsia="Times New Roman" w:cs="Times New Roman"/>
      <w:caps/>
      <w:color w:val="4D2129"/>
      <w:spacing w:val="10"/>
      <w:lang w:bidi="en-US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9246d7"/>
    <w:rPr>
      <w:rFonts w:ascii="Calibri" w:hAnsi="Calibri" w:eastAsia="Times New Roman" w:cs="Times New Roman"/>
      <w:caps/>
      <w:color w:val="4D2129"/>
      <w:spacing w:val="10"/>
      <w:lang w:bidi="en-US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9246d7"/>
    <w:rPr>
      <w:rFonts w:ascii="Calibri" w:hAnsi="Calibri" w:eastAsia="Times New Roman" w:cs="Times New Roman"/>
      <w:caps/>
      <w:spacing w:val="10"/>
      <w:sz w:val="18"/>
      <w:szCs w:val="18"/>
      <w:lang w:bidi="en-US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246d7"/>
    <w:rPr>
      <w:rFonts w:ascii="Calibri" w:hAnsi="Calibri" w:eastAsia="Times New Roman" w:cs="Times New Roman"/>
      <w:i/>
      <w:caps/>
      <w:spacing w:val="10"/>
      <w:sz w:val="18"/>
      <w:szCs w:val="18"/>
      <w:lang w:bidi="en-US"/>
    </w:rPr>
  </w:style>
  <w:style w:type="character" w:styleId="AkapitzlistZnak" w:customStyle="1">
    <w:name w:val="Akapit z listą Znak"/>
    <w:link w:val="Akapitzlist"/>
    <w:uiPriority w:val="34"/>
    <w:qFormat/>
    <w:locked/>
    <w:rsid w:val="009246d7"/>
    <w:rPr>
      <w:rFonts w:ascii="Calibri" w:hAnsi="Calibri" w:eastAsia="Times New Roman" w:cs="Times New Roman"/>
      <w:sz w:val="20"/>
      <w:szCs w:val="20"/>
      <w:lang w:bidi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246d7"/>
    <w:rPr>
      <w:rFonts w:ascii="Calibri" w:hAnsi="Calibri" w:eastAsia="Times New Roman" w:cs="Times New Roman"/>
      <w:sz w:val="16"/>
      <w:szCs w:val="20"/>
      <w:lang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9246d7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9246d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d44c6"/>
    <w:rPr>
      <w:b/>
      <w:bCs/>
      <w:smallCaps/>
      <w:color w:val="4472C4" w:themeColor="accent1"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3764"/>
    <w:rPr>
      <w:rFonts w:ascii="Segoe UI" w:hAnsi="Segoe UI" w:eastAsia="Times New Roman" w:cs="Segoe UI"/>
      <w:sz w:val="18"/>
      <w:szCs w:val="18"/>
      <w:lang w:bidi="en-US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63e3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rsid w:val="00963e3a"/>
    <w:rPr>
      <w:color w:val="0000FF"/>
      <w:u w:val="single"/>
    </w:rPr>
  </w:style>
  <w:style w:type="character" w:styleId="Npititle" w:customStyle="1">
    <w:name w:val="npi-title"/>
    <w:basedOn w:val="DefaultParagraphFont"/>
    <w:qFormat/>
    <w:rsid w:val="00963e3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e1fb6"/>
    <w:rPr>
      <w:rFonts w:ascii="Calibri" w:hAnsi="Calibri" w:eastAsia="Times New Roman" w:cs="Times New Roman"/>
      <w:sz w:val="20"/>
      <w:szCs w:val="20"/>
      <w:lang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e1fb6"/>
    <w:rPr>
      <w:rFonts w:ascii="Calibri" w:hAnsi="Calibri" w:eastAsia="Times New Roman" w:cs="Times New Roman"/>
      <w:sz w:val="20"/>
      <w:szCs w:val="20"/>
      <w:lang w:bidi="en-US"/>
    </w:rPr>
  </w:style>
  <w:style w:type="character" w:styleId="Punkt1Znak" w:customStyle="1">
    <w:name w:val="Punkt1 Znak"/>
    <w:basedOn w:val="DefaultParagraphFont"/>
    <w:link w:val="Punkt1"/>
    <w:qFormat/>
    <w:rsid w:val="00e73813"/>
    <w:rPr>
      <w:rFonts w:ascii="Calibri" w:hAnsi="Calibri" w:eastAsia="Times New Roman" w:cs="Times New Roman"/>
      <w:sz w:val="20"/>
      <w:szCs w:val="20"/>
    </w:rPr>
  </w:style>
  <w:style w:type="character" w:styleId="Punkt2Znak" w:customStyle="1">
    <w:name w:val="Punkt2 Znak"/>
    <w:basedOn w:val="Punkt1Znak"/>
    <w:link w:val="Punkt2"/>
    <w:qFormat/>
    <w:rsid w:val="00e73813"/>
    <w:rPr>
      <w:rFonts w:ascii="Calibri" w:hAnsi="Calibri" w:eastAsia="Times New Roman" w:cs="Times New Roman"/>
      <w:sz w:val="20"/>
      <w:szCs w:val="20"/>
    </w:rPr>
  </w:style>
  <w:style w:type="character" w:styleId="LegendaZnak" w:customStyle="1">
    <w:name w:val="Legenda Znak"/>
    <w:basedOn w:val="DefaultParagraphFont"/>
    <w:link w:val="Legenda"/>
    <w:uiPriority w:val="35"/>
    <w:qFormat/>
    <w:rsid w:val="00bc3d28"/>
    <w:rPr>
      <w:rFonts w:ascii="Calibri" w:hAnsi="Calibri" w:eastAsia="Times New Roman" w:cs="Times New Roman"/>
      <w:i/>
      <w:iCs/>
      <w:color w:val="44546A" w:themeColor="text2"/>
      <w:sz w:val="18"/>
      <w:szCs w:val="18"/>
      <w:lang w:bidi="en-US"/>
    </w:rPr>
  </w:style>
  <w:style w:type="character" w:styleId="Wykres1Znak" w:customStyle="1">
    <w:name w:val="Wykres1 Znak"/>
    <w:basedOn w:val="LegendaZnak"/>
    <w:link w:val="Wykres1"/>
    <w:qFormat/>
    <w:rsid w:val="00c67681"/>
    <w:rPr>
      <w:rFonts w:ascii="Calibri" w:hAnsi="Calibri" w:eastAsia="Times New Roman" w:cs="Calibri" w:cstheme="minorHAnsi"/>
      <w:b/>
      <w:bCs/>
      <w:i w:val="false"/>
      <w:iCs w:val="false"/>
      <w:color w:val="44546A" w:themeColor="text2"/>
      <w:sz w:val="24"/>
      <w:szCs w:val="24"/>
      <w:lang w:bidi="en-US"/>
    </w:rPr>
  </w:style>
  <w:style w:type="character" w:styleId="Tabela1Znak" w:customStyle="1">
    <w:name w:val="Tabela1 Znak"/>
    <w:basedOn w:val="Wykres1Znak"/>
    <w:link w:val="Tabela1"/>
    <w:qFormat/>
    <w:rsid w:val="00c67681"/>
    <w:rPr>
      <w:rFonts w:ascii="Calibri" w:hAnsi="Calibri" w:eastAsia="Times New Roman" w:cs="Calibri" w:cstheme="minorHAnsi"/>
      <w:b/>
      <w:bCs/>
      <w:i w:val="false"/>
      <w:iCs w:val="false"/>
      <w:color w:val="44546A" w:themeColor="text2"/>
      <w:sz w:val="24"/>
      <w:szCs w:val="24"/>
      <w:lang w:bidi="en-US"/>
    </w:rPr>
  </w:style>
  <w:style w:type="character" w:styleId="Alb" w:customStyle="1">
    <w:name w:val="a_lb"/>
    <w:basedOn w:val="DefaultParagraphFont"/>
    <w:qFormat/>
    <w:rsid w:val="004a3ee0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616a14"/>
    <w:rPr>
      <w:rFonts w:eastAsia="" w:eastAsiaTheme="minorEastAsia"/>
      <w:b/>
      <w:sz w:val="24"/>
    </w:rPr>
  </w:style>
  <w:style w:type="character" w:styleId="Wyrnienie">
    <w:name w:val="Wyróżnienie"/>
    <w:basedOn w:val="DefaultParagraphFont"/>
    <w:uiPriority w:val="20"/>
    <w:qFormat/>
    <w:rsid w:val="00e307de"/>
    <w:rPr>
      <w:i/>
      <w:iCs/>
    </w:rPr>
  </w:style>
  <w:style w:type="character" w:styleId="WYGTekstgwnyZnak" w:customStyle="1">
    <w:name w:val="WYG - Tekst główny Znak"/>
    <w:basedOn w:val="DefaultParagraphFont"/>
    <w:link w:val="WYG-Tekstgwny"/>
    <w:qFormat/>
    <w:rsid w:val="00bb7062"/>
    <w:rPr>
      <w:rFonts w:ascii="Tahoma" w:hAnsi="Tahoma" w:eastAsia="Times New Roman" w:cs="Tahoma"/>
      <w:sz w:val="20"/>
      <w:szCs w:val="18"/>
    </w:rPr>
  </w:style>
  <w:style w:type="character" w:styleId="BoldtekstuZnak" w:customStyle="1">
    <w:name w:val="Bold tekstu Znak"/>
    <w:basedOn w:val="WYGTekstgwnyZnak"/>
    <w:link w:val="Boldtekstu"/>
    <w:qFormat/>
    <w:rsid w:val="00bb7062"/>
    <w:rPr>
      <w:rFonts w:ascii="Tahoma" w:hAnsi="Tahoma" w:eastAsia="Times New Roman" w:cs="Tahoma"/>
      <w:b/>
      <w:color w:val="4F758B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091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0c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0cc6"/>
    <w:rPr>
      <w:rFonts w:ascii="Calibri" w:hAnsi="Calibri" w:eastAsia="Times New Roman" w:cs="Times New Roman"/>
      <w:sz w:val="20"/>
      <w:szCs w:val="20"/>
      <w:lang w:bidi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70cc6"/>
    <w:rPr>
      <w:rFonts w:ascii="Calibri" w:hAnsi="Calibri" w:eastAsia="Times New Roman" w:cs="Times New Roman"/>
      <w:b/>
      <w:bCs/>
      <w:sz w:val="20"/>
      <w:szCs w:val="20"/>
      <w:lang w:bidi="en-US"/>
    </w:rPr>
  </w:style>
  <w:style w:type="character" w:styleId="ListLabel1">
    <w:name w:val="ListLabel 1"/>
    <w:qFormat/>
    <w:rPr>
      <w:color w:val="FFFFFF"/>
    </w:rPr>
  </w:style>
  <w:style w:type="character" w:styleId="ListLabel2">
    <w:name w:val="ListLabel 2"/>
    <w:qFormat/>
    <w:rPr>
      <w:color w:val="44546A"/>
    </w:rPr>
  </w:style>
  <w:style w:type="character" w:styleId="ListLabel3">
    <w:name w:val="ListLabel 3"/>
    <w:qFormat/>
    <w:rPr>
      <w:color w:val="C0000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246d7"/>
    <w:pPr>
      <w:spacing w:before="60" w:after="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246d7"/>
    <w:pPr/>
    <w:rPr>
      <w:sz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37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Tekstpodstawowywcity2Znak"/>
    <w:semiHidden/>
    <w:qFormat/>
    <w:rsid w:val="00963e3a"/>
    <w:pPr>
      <w:spacing w:lineRule="auto" w:line="360" w:before="240" w:after="0"/>
      <w:ind w:firstLine="567"/>
    </w:pPr>
    <w:rPr>
      <w:rFonts w:ascii="Times New Roman" w:hAnsi="Times New Roman"/>
      <w:sz w:val="24"/>
      <w:lang w:eastAsia="pl-PL" w:bidi="ar-SA"/>
    </w:rPr>
  </w:style>
  <w:style w:type="paragraph" w:styleId="Styl4" w:customStyle="1">
    <w:name w:val="Styl4"/>
    <w:basedOn w:val="Nagwek1"/>
    <w:qFormat/>
    <w:rsid w:val="00963e3a"/>
    <w:pPr>
      <w:keepNext w:val="true"/>
      <w:numPr>
        <w:ilvl w:val="0"/>
        <w:numId w:val="0"/>
      </w:numPr>
      <w:pBdr>
        <w:top w:val="nil"/>
        <w:left w:val="nil"/>
        <w:bottom w:val="nil"/>
        <w:right w:val="nil"/>
      </w:pBdr>
      <w:shd w:val="clear" w:color="auto" w:fill="auto"/>
      <w:spacing w:lineRule="auto" w:line="360" w:before="120" w:after="240"/>
      <w:jc w:val="left"/>
    </w:pPr>
    <w:rPr>
      <w:rFonts w:ascii="Times New Roman" w:hAnsi="Times New Roman"/>
      <w:bCs w:val="false"/>
      <w:caps w:val="false"/>
      <w:smallCaps w:val="false"/>
      <w:color w:val="auto"/>
      <w:spacing w:val="0"/>
      <w:sz w:val="28"/>
      <w:szCs w:val="20"/>
      <w:lang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0e1f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e1f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pistreci2">
    <w:name w:val="TOC 2"/>
    <w:basedOn w:val="Normal"/>
    <w:next w:val="Normal"/>
    <w:autoRedefine/>
    <w:uiPriority w:val="39"/>
    <w:rsid w:val="001b062a"/>
    <w:pPr>
      <w:tabs>
        <w:tab w:val="clear" w:pos="708"/>
        <w:tab w:val="left" w:pos="600" w:leader="none"/>
        <w:tab w:val="left" w:pos="1843" w:leader="none"/>
        <w:tab w:val="left" w:pos="8789" w:leader="none"/>
      </w:tabs>
      <w:spacing w:lineRule="auto" w:line="240" w:before="40" w:after="40"/>
      <w:ind w:left="567" w:hanging="369"/>
      <w:jc w:val="left"/>
    </w:pPr>
    <w:rPr>
      <w:rFonts w:ascii="Times New Roman" w:hAnsi="Times New Roman"/>
      <w:smallCaps/>
      <w:sz w:val="24"/>
      <w:szCs w:val="26"/>
      <w:lang w:eastAsia="pl-PL" w:bidi="ar-SA"/>
    </w:rPr>
  </w:style>
  <w:style w:type="paragraph" w:styleId="Styl2" w:customStyle="1">
    <w:name w:val="Styl2"/>
    <w:basedOn w:val="Normal"/>
    <w:autoRedefine/>
    <w:qFormat/>
    <w:rsid w:val="001b062a"/>
    <w:pPr>
      <w:tabs>
        <w:tab w:val="clear" w:pos="708"/>
        <w:tab w:val="left" w:pos="0" w:leader="none"/>
      </w:tabs>
      <w:spacing w:lineRule="auto" w:line="360" w:before="240" w:after="240"/>
    </w:pPr>
    <w:rPr>
      <w:rFonts w:ascii="Times New Roman" w:hAnsi="Times New Roman"/>
      <w:b/>
      <w:sz w:val="26"/>
      <w:lang w:eastAsia="pl-PL" w:bidi="ar-SA"/>
    </w:rPr>
  </w:style>
  <w:style w:type="paragraph" w:styleId="Punkt1" w:customStyle="1">
    <w:name w:val="Punkt1"/>
    <w:basedOn w:val="Normal"/>
    <w:link w:val="Punkt1Znak"/>
    <w:qFormat/>
    <w:rsid w:val="00e73813"/>
    <w:pPr/>
    <w:rPr>
      <w:lang w:bidi="ar-SA"/>
    </w:rPr>
  </w:style>
  <w:style w:type="paragraph" w:styleId="Punkt2" w:customStyle="1">
    <w:name w:val="Punkt2"/>
    <w:basedOn w:val="Punkt1"/>
    <w:link w:val="Punkt2Znak"/>
    <w:qFormat/>
    <w:rsid w:val="00e73813"/>
    <w:pPr>
      <w:ind w:left="567" w:hanging="283"/>
    </w:pPr>
    <w:rPr/>
  </w:style>
  <w:style w:type="paragraph" w:styleId="Caption">
    <w:name w:val="caption"/>
    <w:basedOn w:val="Normal"/>
    <w:next w:val="Normal"/>
    <w:link w:val="LegendaZnak"/>
    <w:uiPriority w:val="35"/>
    <w:unhideWhenUsed/>
    <w:qFormat/>
    <w:rsid w:val="00fb0e6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Wykres1" w:customStyle="1">
    <w:name w:val="Wykres1"/>
    <w:basedOn w:val="Caption"/>
    <w:link w:val="Wykres1Znak"/>
    <w:qFormat/>
    <w:rsid w:val="00c67681"/>
    <w:pPr>
      <w:keepNext w:val="true"/>
      <w:spacing w:before="240" w:after="200"/>
      <w:jc w:val="left"/>
    </w:pPr>
    <w:rPr>
      <w:rFonts w:ascii="Calibri" w:hAnsi="Calibri" w:cs="Calibri" w:asciiTheme="minorHAnsi" w:cstheme="minorHAnsi" w:hAnsiTheme="minorHAnsi"/>
      <w:b/>
      <w:bCs/>
      <w:i w:val="false"/>
      <w:iCs w:val="false"/>
      <w:color w:val="auto"/>
      <w:sz w:val="24"/>
      <w:szCs w:val="24"/>
    </w:rPr>
  </w:style>
  <w:style w:type="paragraph" w:styleId="Tabela1" w:customStyle="1">
    <w:name w:val="Tabela1"/>
    <w:basedOn w:val="Wykres1"/>
    <w:link w:val="Tabela1Znak"/>
    <w:qFormat/>
    <w:rsid w:val="00c67681"/>
    <w:pPr>
      <w:spacing w:lineRule="auto" w:line="276" w:before="240" w:after="40"/>
    </w:pPr>
    <w:rPr/>
  </w:style>
  <w:style w:type="paragraph" w:styleId="Podtytu">
    <w:name w:val="Subtitle"/>
    <w:basedOn w:val="Normal"/>
    <w:link w:val="PodtytuZnak"/>
    <w:uiPriority w:val="11"/>
    <w:qFormat/>
    <w:rsid w:val="00616a14"/>
    <w:pPr>
      <w:spacing w:lineRule="auto" w:line="259" w:before="160" w:after="40"/>
      <w:jc w:val="left"/>
    </w:pPr>
    <w:rPr>
      <w:rFonts w:ascii="Calibri" w:hAnsi="Calibri" w:eastAsia="" w:cs="" w:asciiTheme="minorHAnsi" w:cstheme="minorBidi" w:eastAsiaTheme="minorEastAsia" w:hAnsiTheme="minorHAnsi"/>
      <w:b/>
      <w:sz w:val="24"/>
      <w:szCs w:val="22"/>
      <w:lang w:bidi="ar-SA"/>
    </w:rPr>
  </w:style>
  <w:style w:type="paragraph" w:styleId="ListBullet">
    <w:name w:val="List Bullet"/>
    <w:basedOn w:val="Normal"/>
    <w:uiPriority w:val="99"/>
    <w:unhideWhenUsed/>
    <w:qFormat/>
    <w:rsid w:val="005776af"/>
    <w:pPr>
      <w:spacing w:lineRule="auto" w:line="240" w:before="0" w:after="0"/>
    </w:pPr>
    <w:rPr>
      <w:rFonts w:ascii="Times New Roman" w:hAnsi="Times New Roman" w:eastAsia="Calibri" w:eastAsiaTheme="minorHAns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qFormat/>
    <w:rsid w:val="005776af"/>
    <w:pPr>
      <w:spacing w:lineRule="auto" w:line="240" w:beforeAutospacing="1" w:afterAutospacing="1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WYGTekstgwny" w:customStyle="1">
    <w:name w:val="WYG - Tekst główny"/>
    <w:basedOn w:val="Normal"/>
    <w:link w:val="WYG-TekstgwnyZnak"/>
    <w:qFormat/>
    <w:rsid w:val="00bb7062"/>
    <w:pPr>
      <w:spacing w:lineRule="auto" w:line="276" w:before="0" w:after="200"/>
    </w:pPr>
    <w:rPr>
      <w:rFonts w:ascii="Tahoma" w:hAnsi="Tahoma" w:cs="Tahoma"/>
      <w:szCs w:val="18"/>
      <w:lang w:bidi="ar-SA"/>
    </w:rPr>
  </w:style>
  <w:style w:type="paragraph" w:styleId="Boldtekstu" w:customStyle="1">
    <w:name w:val="Bold tekstu"/>
    <w:basedOn w:val="WYGTekstgwny"/>
    <w:link w:val="BoldtekstuZnak"/>
    <w:qFormat/>
    <w:rsid w:val="00bb7062"/>
    <w:pPr/>
    <w:rPr>
      <w:b/>
      <w:color w:val="4F758B"/>
    </w:rPr>
  </w:style>
  <w:style w:type="paragraph" w:styleId="Default" w:customStyle="1">
    <w:name w:val="Default"/>
    <w:qFormat/>
    <w:rsid w:val="00bb706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next w:val="Normal"/>
    <w:uiPriority w:val="39"/>
    <w:unhideWhenUsed/>
    <w:qFormat/>
    <w:rsid w:val="00653403"/>
    <w:pPr>
      <w:keepNext w:val="true"/>
      <w:keepLines/>
      <w:numPr>
        <w:ilvl w:val="0"/>
        <w:numId w:val="0"/>
      </w:numPr>
      <w:pBdr>
        <w:top w:val="nil"/>
        <w:left w:val="nil"/>
        <w:bottom w:val="nil"/>
        <w:right w:val="nil"/>
      </w:pBdr>
      <w:shd w:val="clear" w:color="auto" w:fill="auto"/>
      <w:spacing w:lineRule="auto" w:line="259" w:before="240" w:after="0"/>
      <w:jc w:val="left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aps w:val="false"/>
      <w:smallCaps w:val="false"/>
      <w:color w:val="2F5496" w:themeColor="accent1" w:themeShade="bf"/>
      <w:spacing w:val="0"/>
      <w:sz w:val="32"/>
      <w:szCs w:val="32"/>
      <w:lang w:eastAsia="pl-PL" w:bidi="ar-SA"/>
    </w:rPr>
  </w:style>
  <w:style w:type="paragraph" w:styleId="Spistreci1">
    <w:name w:val="TOC 1"/>
    <w:basedOn w:val="Normal"/>
    <w:next w:val="Normal"/>
    <w:autoRedefine/>
    <w:uiPriority w:val="39"/>
    <w:unhideWhenUsed/>
    <w:rsid w:val="00653403"/>
    <w:pPr>
      <w:spacing w:lineRule="auto" w:line="259" w:before="0" w:after="100"/>
      <w:jc w:val="left"/>
    </w:pPr>
    <w:rPr>
      <w:rFonts w:ascii="Calibri" w:hAnsi="Calibri" w:eastAsia="" w:asciiTheme="minorHAnsi" w:eastAsiaTheme="minorEastAsia" w:hAnsiTheme="minorHAnsi"/>
      <w:sz w:val="22"/>
      <w:szCs w:val="22"/>
      <w:lang w:eastAsia="pl-PL" w:bidi="ar-SA"/>
    </w:rPr>
  </w:style>
  <w:style w:type="paragraph" w:styleId="Spistreci3">
    <w:name w:val="TOC 3"/>
    <w:basedOn w:val="Normal"/>
    <w:next w:val="Normal"/>
    <w:autoRedefine/>
    <w:uiPriority w:val="39"/>
    <w:unhideWhenUsed/>
    <w:rsid w:val="00653403"/>
    <w:pPr>
      <w:spacing w:lineRule="auto" w:line="259" w:before="0" w:after="100"/>
      <w:ind w:left="440" w:hanging="0"/>
      <w:jc w:val="left"/>
    </w:pPr>
    <w:rPr>
      <w:rFonts w:ascii="Calibri" w:hAnsi="Calibri" w:eastAsia="" w:asciiTheme="minorHAnsi" w:eastAsiaTheme="minorEastAsia" w:hAnsiTheme="minorHAnsi"/>
      <w:sz w:val="22"/>
      <w:szCs w:val="22"/>
      <w:lang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0cc6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70cc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665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000000"/>
              </a:solidFill>
              <a:ln>
                <a:noFill/>
              </a:ln>
            </c:spPr>
          </c:dPt>
          <c:dLbls>
            <c:numFmt formatCode="General" sourceLinked="0"/>
            <c:dLbl>
              <c:idx val="0"/>
              <c:txPr>
                <a:bodyPr/>
                <a:lstStyle/>
                <a:p>
                  <a:pPr>
                    <a:defRPr b="1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txPr>
                <a:bodyPr/>
                <a:lstStyle/>
                <a:p>
                  <a:pPr>
                    <a:defRPr b="1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txPr>
                <a:bodyPr/>
                <a:lstStyle/>
                <a:p>
                  <a:pPr>
                    <a:defRPr b="1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txPr>
              <a:bodyPr/>
              <a:lstStyle/>
              <a:p>
                <a:pPr>
                  <a:defRPr b="1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Trudno powiedzieć/nie mam zdania</c:v>
                </c:pt>
                <c:pt idx="2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371</c:v>
                </c:pt>
                <c:pt idx="1">
                  <c:v>105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explosion val="0"/>
          <c:dPt>
            <c:idx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0.0%" sourceLinked="1"/>
            <c:dLbl>
              <c:idx val="0"/>
              <c:txPr>
                <a:bodyPr/>
                <a:lstStyle/>
                <a:p>
                  <a:pPr>
                    <a:defRPr b="1" sz="900" spc="-1" strike="noStrik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txPr>
                <a:bodyPr/>
                <a:lstStyle/>
                <a:p>
                  <a:pPr>
                    <a:defRPr b="1" sz="900" spc="-1" strike="noStrik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txPr>
                <a:bodyPr/>
                <a:lstStyle/>
                <a:p>
                  <a:pPr>
                    <a:defRPr b="1" sz="900" spc="-1" strike="noStrike">
                      <a:solidFill>
                        <a:srgbClr val="ffffff"/>
                      </a:solidFill>
                      <a:latin typeface="Calibri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</c:dLbl>
            <c:txPr>
              <a:bodyPr/>
              <a:lstStyle/>
              <a:p>
                <a:pPr>
                  <a:defRPr b="1" sz="900" spc="-1" strike="noStrike">
                    <a:solidFill>
                      <a:srgbClr val="ffffff"/>
                    </a:solidFill>
                    <a:latin typeface="Calibri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Trudno powiedzieć/nie mam zdania</c:v>
                </c:pt>
                <c:pt idx="2">
                  <c:v>Nie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0.777777777777778</c:v>
                </c:pt>
                <c:pt idx="1">
                  <c:v>0.220125786163522</c:v>
                </c:pt>
                <c:pt idx="2">
                  <c:v>0.00209643605870021</c:v>
                </c:pt>
              </c:numCache>
            </c:numRef>
          </c:val>
        </c:ser>
        <c:firstSliceAng val="119"/>
      </c:pieChart>
      <c:spPr>
        <a:noFill/>
        <a:ln>
          <a:noFill/>
        </a:ln>
      </c:spPr>
    </c:plotArea>
    <c:legend>
      <c:legendPos val="b"/>
      <c:overlay val="0"/>
      <c:spPr>
        <a:solidFill>
          <a:srgbClr val="ffffff">
            <a:alpha val="78000"/>
          </a:srgbClr>
        </a:solidFill>
        <a:ln>
          <a:solidFill>
            <a:srgbClr val="bfbfbf"/>
          </a:solidFill>
        </a:ln>
      </c:spPr>
      <c:txPr>
        <a:bodyPr/>
        <a:lstStyle/>
        <a:p>
          <a:pPr>
            <a:defRPr b="0" sz="12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pattFill prst="ltDnDiag">
      <a:fgClr>
        <a:srgbClr val="f2f2f2"/>
      </a:fgClr>
      <a:bgClr>
        <a:srgbClr val="ffffff"/>
      </a:bgClr>
    </a:patt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26275"/>
          <c:y val="0.0315555555555556"/>
          <c:w val="0.7010625"/>
          <c:h val="0.89255555555555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1" sz="1000" spc="-1" strike="noStrike">
                    <a:solidFill>
                      <a:srgbClr val="ffffff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6"/>
                <c:pt idx="0">
                  <c:v>15</c:v>
                </c:pt>
                <c:pt idx="1">
                  <c:v>51</c:v>
                </c:pt>
                <c:pt idx="2">
                  <c:v>20</c:v>
                </c:pt>
                <c:pt idx="3">
                  <c:v>17</c:v>
                </c:pt>
                <c:pt idx="4">
                  <c:v>28</c:v>
                </c:pt>
                <c:pt idx="5">
                  <c:v>23</c:v>
                </c:pt>
                <c:pt idx="6">
                  <c:v>7</c:v>
                </c:pt>
                <c:pt idx="7">
                  <c:v>29</c:v>
                </c:pt>
                <c:pt idx="8">
                  <c:v>10</c:v>
                </c:pt>
                <c:pt idx="9">
                  <c:v>33</c:v>
                </c:pt>
                <c:pt idx="10">
                  <c:v>42</c:v>
                </c:pt>
                <c:pt idx="11">
                  <c:v>20</c:v>
                </c:pt>
                <c:pt idx="12">
                  <c:v>13</c:v>
                </c:pt>
                <c:pt idx="13">
                  <c:v>23</c:v>
                </c:pt>
                <c:pt idx="14">
                  <c:v>22</c:v>
                </c:pt>
                <c:pt idx="15">
                  <c:v>18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1" sz="10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6"/>
                <c:pt idx="0">
                  <c:v>5</c:v>
                </c:pt>
                <c:pt idx="1">
                  <c:v>16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1</c:v>
                </c:pt>
                <c:pt idx="9">
                  <c:v>14</c:v>
                </c:pt>
                <c:pt idx="10">
                  <c:v>9</c:v>
                </c:pt>
                <c:pt idx="11">
                  <c:v>4</c:v>
                </c:pt>
                <c:pt idx="12">
                  <c:v>3</c:v>
                </c:pt>
                <c:pt idx="13">
                  <c:v>14</c:v>
                </c:pt>
                <c:pt idx="14">
                  <c:v>4</c:v>
                </c:pt>
                <c:pt idx="15">
                  <c:v>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Pt>
            <c:idx val="6"/>
            <c:invertIfNegative val="0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6"/>
              <c:txPr>
                <a:bodyPr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6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>1</c:v>
                </c:pt>
                <c:pt idx="7">
                  <c:v/>
                </c:pt>
                <c:pt idx="8">
                  <c:v/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</c:numCache>
            </c:numRef>
          </c:val>
        </c:ser>
        <c:gapWidth val="46"/>
        <c:overlap val="100"/>
        <c:axId val="15846491"/>
        <c:axId val="68920353"/>
      </c:barChart>
      <c:catAx>
        <c:axId val="15846491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[$-415]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8920353"/>
        <c:crosses val="autoZero"/>
        <c:auto val="1"/>
        <c:lblAlgn val="ctr"/>
        <c:lblOffset val="100"/>
      </c:catAx>
      <c:valAx>
        <c:axId val="6892035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5846491"/>
        <c:crosses val="autoZero"/>
      </c:valAx>
      <c:spPr>
        <a:pattFill prst="ltDnDiag">
          <a:fgClr>
            <a:srgbClr val="d9d9d9"/>
          </a:fgClr>
          <a:bgClr>
            <a:srgbClr val="ffffff"/>
          </a:bgClr>
        </a:pattFill>
        <a:ln>
          <a:noFill/>
        </a:ln>
      </c:spPr>
    </c:plotArea>
    <c:legend>
      <c:layout>
        <c:manualLayout>
          <c:xMode val="edge"/>
          <c:yMode val="edge"/>
          <c:x val="0.7009375"/>
          <c:y val="0.0722222222222222"/>
          <c:w val="0.240265016563535"/>
          <c:h val="0.188687631959107"/>
        </c:manualLayout>
      </c:layout>
      <c:spPr>
        <a:solidFill>
          <a:srgbClr val="ffffff"/>
        </a:solidFill>
        <a:ln>
          <a:solidFill>
            <a:srgbClr val="d9d9d9"/>
          </a:solidFill>
        </a:ln>
      </c:spPr>
      <c:txPr>
        <a:bodyPr/>
        <a:lstStyle/>
        <a:p>
          <a:pPr>
            <a:defRPr b="0" sz="105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499375"/>
          <c:y val="0.0457777777777778"/>
          <c:w val="0.4554375"/>
          <c:h val="0.8118888888888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1" sz="1100" spc="-1" strike="noStrike">
                    <a:solidFill>
                      <a:srgbClr val="ffffff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wieś</c:v>
                </c:pt>
                <c:pt idx="1">
                  <c:v>miasto poniżej 20 tys. mieszkańców</c:v>
                </c:pt>
                <c:pt idx="2">
                  <c:v>miasto powyżej 20 do 50 tys. mieszkańców</c:v>
                </c:pt>
                <c:pt idx="3">
                  <c:v>miasto powyżej 50 do 200 tys. mieszkańców</c:v>
                </c:pt>
                <c:pt idx="4">
                  <c:v>miasto powyżej 200 do 500 tys. mieszkańców</c:v>
                </c:pt>
                <c:pt idx="5">
                  <c:v>miasto powyżej 500 tys. mieszkańców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102</c:v>
                </c:pt>
                <c:pt idx="1">
                  <c:v>84</c:v>
                </c:pt>
                <c:pt idx="2">
                  <c:v>73</c:v>
                </c:pt>
                <c:pt idx="3">
                  <c:v>65</c:v>
                </c:pt>
                <c:pt idx="4">
                  <c:v>23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Pt>
            <c:idx val="4"/>
            <c:invertIfNegative val="0"/>
            <c:spPr>
              <a:solidFill>
                <a:srgbClr val="ffc000"/>
              </a:solidFill>
              <a:ln>
                <a:noFill/>
              </a:ln>
            </c:spPr>
          </c:dPt>
          <c:dLbls>
            <c:numFmt formatCode="0" sourceLinked="1"/>
            <c:dLbl>
              <c:idx val="4"/>
              <c:txPr>
                <a:bodyPr/>
                <a:lstStyle/>
                <a:p>
                  <a:pPr>
                    <a:defRPr b="1" sz="11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1" sz="11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wieś</c:v>
                </c:pt>
                <c:pt idx="1">
                  <c:v>miasto poniżej 20 tys. mieszkańców</c:v>
                </c:pt>
                <c:pt idx="2">
                  <c:v>miasto powyżej 20 do 50 tys. mieszkańców</c:v>
                </c:pt>
                <c:pt idx="3">
                  <c:v>miasto powyżej 50 do 200 tys. mieszkańców</c:v>
                </c:pt>
                <c:pt idx="4">
                  <c:v>miasto powyżej 200 do 500 tys. mieszkańców</c:v>
                </c:pt>
                <c:pt idx="5">
                  <c:v>miasto powyżej 500 tys. mieszkańców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36</c:v>
                </c:pt>
                <c:pt idx="1">
                  <c:v>28</c:v>
                </c:pt>
                <c:pt idx="2">
                  <c:v>19</c:v>
                </c:pt>
                <c:pt idx="3">
                  <c:v>8</c:v>
                </c:pt>
                <c:pt idx="4">
                  <c:v>2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Pt>
            <c:idx val="1"/>
            <c:invertIfNegative val="0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1"/>
              <c:txPr>
                <a:bodyPr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wieś</c:v>
                </c:pt>
                <c:pt idx="1">
                  <c:v>miasto poniżej 20 tys. mieszkańców</c:v>
                </c:pt>
                <c:pt idx="2">
                  <c:v>miasto powyżej 20 do 50 tys. mieszkańców</c:v>
                </c:pt>
                <c:pt idx="3">
                  <c:v>miasto powyżej 50 do 200 tys. mieszkańców</c:v>
                </c:pt>
                <c:pt idx="4">
                  <c:v>miasto powyżej 200 do 500 tys. mieszkańców</c:v>
                </c:pt>
                <c:pt idx="5">
                  <c:v>miasto powyżej 500 tys. mieszkańców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/>
                </c:pt>
                <c:pt idx="1">
                  <c:v>1</c:v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</c:numCache>
            </c:numRef>
          </c:val>
        </c:ser>
        <c:gapWidth val="110"/>
        <c:overlap val="100"/>
        <c:axId val="86215840"/>
        <c:axId val="81157034"/>
      </c:barChart>
      <c:catAx>
        <c:axId val="86215840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[$-415]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1157034"/>
        <c:crosses val="autoZero"/>
        <c:auto val="1"/>
        <c:lblAlgn val="ctr"/>
        <c:lblOffset val="100"/>
      </c:catAx>
      <c:valAx>
        <c:axId val="81157034"/>
        <c:scaling>
          <c:orientation val="minMax"/>
          <c:max val="14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6215840"/>
        <c:crosses val="autoZero"/>
      </c:valAx>
      <c:spPr>
        <a:pattFill prst="ltDnDiag">
          <a:fgClr>
            <a:srgbClr val="d9d9d9"/>
          </a:fgClr>
          <a:bgClr>
            <a:srgbClr val="ffffff"/>
          </a:bgClr>
        </a:pattFill>
        <a:ln>
          <a:noFill/>
        </a:ln>
      </c:spPr>
    </c:plotArea>
    <c:legend>
      <c:layout>
        <c:manualLayout>
          <c:xMode val="edge"/>
          <c:yMode val="edge"/>
          <c:x val="0.6909375"/>
          <c:y val="0.0668888888888889"/>
          <c:w val="0.260203762735171"/>
          <c:h val="0.234137126347372"/>
        </c:manualLayout>
      </c:layout>
      <c:spPr>
        <a:solidFill>
          <a:srgbClr val="ffffff"/>
        </a:solidFill>
        <a:ln>
          <a:solidFill>
            <a:srgbClr val="d9d9d9"/>
          </a:solidFill>
        </a:ln>
      </c:spPr>
      <c:txPr>
        <a:bodyPr/>
        <a:lstStyle/>
        <a:p>
          <a:pPr>
            <a:defRPr b="0" sz="11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0814375"/>
          <c:y val="0.0265555555555556"/>
          <c:w val="0.8760625"/>
          <c:h val="0.535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2008 rok</c:v>
                </c:pt>
              </c:strCache>
            </c:strRef>
          </c:tx>
          <c:spPr>
            <a:solidFill>
              <a:srgbClr val="2f5597"/>
            </a:solidFill>
            <a:ln w="22320">
              <a:solidFill>
                <a:srgbClr val="2f5597"/>
              </a:solidFill>
              <a:round/>
            </a:ln>
          </c:spPr>
          <c:marker>
            <c:symbol val="none"/>
          </c:marker>
          <c:dLbls>
            <c:numFmt formatCode="0.0%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Niepełnosprawność intelektualna</c:v>
                </c:pt>
                <c:pt idx="1">
                  <c:v>Choroba psychiczna</c:v>
                </c:pt>
                <c:pt idx="2">
                  <c:v>Niepełnosprawność narządu ruchu</c:v>
                </c:pt>
                <c:pt idx="3">
                  <c:v>Epilepsja</c:v>
                </c:pt>
                <c:pt idx="4">
                  <c:v>Niepełnosprawność narządu słuchu i mowy</c:v>
                </c:pt>
                <c:pt idx="5">
                  <c:v>Niepełnosprawność narządu wzroku</c:v>
                </c:pt>
                <c:pt idx="6">
                  <c:v>Inne schorzenia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0.56</c:v>
                </c:pt>
                <c:pt idx="1">
                  <c:v>0.182</c:v>
                </c:pt>
                <c:pt idx="2">
                  <c:v>0.094</c:v>
                </c:pt>
                <c:pt idx="3">
                  <c:v>0.039</c:v>
                </c:pt>
                <c:pt idx="4">
                  <c:v>0.023</c:v>
                </c:pt>
                <c:pt idx="5">
                  <c:v>0.028</c:v>
                </c:pt>
                <c:pt idx="6">
                  <c:v>0.074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2014 rok</c:v>
                </c:pt>
              </c:strCache>
            </c:strRef>
          </c:tx>
          <c:spPr>
            <a:solidFill>
              <a:srgbClr val="ff0000"/>
            </a:solidFill>
            <a:ln w="22320">
              <a:solidFill>
                <a:srgbClr val="ff0000"/>
              </a:solidFill>
              <a:round/>
            </a:ln>
          </c:spPr>
          <c:marker>
            <c:symbol val="none"/>
          </c:marker>
          <c:dLbls>
            <c:numFmt formatCode="0.0%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Niepełnosprawność intelektualna</c:v>
                </c:pt>
                <c:pt idx="1">
                  <c:v>Choroba psychiczna</c:v>
                </c:pt>
                <c:pt idx="2">
                  <c:v>Niepełnosprawność narządu ruchu</c:v>
                </c:pt>
                <c:pt idx="3">
                  <c:v>Epilepsja</c:v>
                </c:pt>
                <c:pt idx="4">
                  <c:v>Niepełnosprawność narządu słuchu i mowy</c:v>
                </c:pt>
                <c:pt idx="5">
                  <c:v>Niepełnosprawność narządu wzroku</c:v>
                </c:pt>
                <c:pt idx="6">
                  <c:v>Inne schorzenia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0.57</c:v>
                </c:pt>
                <c:pt idx="1">
                  <c:v>0.2</c:v>
                </c:pt>
                <c:pt idx="2">
                  <c:v>0.081</c:v>
                </c:pt>
                <c:pt idx="3">
                  <c:v>0.027</c:v>
                </c:pt>
                <c:pt idx="4">
                  <c:v>0.023</c:v>
                </c:pt>
                <c:pt idx="5">
                  <c:v>0.022</c:v>
                </c:pt>
                <c:pt idx="6">
                  <c:v>0.077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rgbClr val="70ad47"/>
            </a:solidFill>
            <a:ln w="22320">
              <a:solidFill>
                <a:srgbClr val="70ad47"/>
              </a:solidFill>
              <a:round/>
            </a:ln>
          </c:spPr>
          <c:marker>
            <c:symbol val="none"/>
          </c:marker>
          <c:dLbls>
            <c:numFmt formatCode="0.0%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Niepełnosprawność intelektualna</c:v>
                </c:pt>
                <c:pt idx="1">
                  <c:v>Choroba psychiczna</c:v>
                </c:pt>
                <c:pt idx="2">
                  <c:v>Niepełnosprawność narządu ruchu</c:v>
                </c:pt>
                <c:pt idx="3">
                  <c:v>Epilepsja</c:v>
                </c:pt>
                <c:pt idx="4">
                  <c:v>Niepełnosprawność narządu słuchu i mowy</c:v>
                </c:pt>
                <c:pt idx="5">
                  <c:v>Niepełnosprawność narządu wzroku</c:v>
                </c:pt>
                <c:pt idx="6">
                  <c:v>Inne schorzenia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0.581404133613944</c:v>
                </c:pt>
                <c:pt idx="1">
                  <c:v>0.186714154659759</c:v>
                </c:pt>
                <c:pt idx="2">
                  <c:v>0.0657276995305164</c:v>
                </c:pt>
                <c:pt idx="3">
                  <c:v>0.035669958448006</c:v>
                </c:pt>
                <c:pt idx="4">
                  <c:v>0.0199665425503211</c:v>
                </c:pt>
                <c:pt idx="5">
                  <c:v>0.020236360692893</c:v>
                </c:pt>
                <c:pt idx="6">
                  <c:v>0.0902811505045599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75025604"/>
        <c:axId val="54138810"/>
      </c:lineChart>
      <c:catAx>
        <c:axId val="75025604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>
                  <a:alpha val="54000"/>
                </a:srgbClr>
              </a:solidFill>
              <a:round/>
            </a:ln>
          </c:spPr>
        </c:majorGridlines>
        <c:minorGridlines>
          <c:spPr>
            <a:ln w="9360">
              <a:solidFill>
                <a:srgbClr val="d9d9d9">
                  <a:alpha val="51000"/>
                </a:srgbClr>
              </a:solidFill>
              <a:round/>
            </a:ln>
          </c:spPr>
        </c:minorGridlines>
        <c:numFmt formatCode="[$-415]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 rot="-5400000"/>
          <a:lstStyle/>
          <a:p>
            <a:pPr>
              <a:defRPr b="0" sz="11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138810"/>
        <c:crosses val="autoZero"/>
        <c:auto val="1"/>
        <c:lblAlgn val="ctr"/>
        <c:lblOffset val="100"/>
      </c:catAx>
      <c:valAx>
        <c:axId val="5413881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>
                  <a:alpha val="54000"/>
                </a:srgbClr>
              </a:solidFill>
              <a:round/>
            </a:ln>
          </c:spPr>
        </c:majorGridlines>
        <c:numFmt formatCode="0%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11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025604"/>
        <c:crosses val="autoZero"/>
        <c:crossBetween val="midCat"/>
      </c:valAx>
      <c:spPr>
        <a:pattFill prst="ltDnDiag">
          <a:fgClr>
            <a:srgbClr val="d9d9d9"/>
          </a:fgClr>
          <a:bgClr>
            <a:srgbClr val="ffffff"/>
          </a:bgClr>
        </a:pattFill>
        <a:ln>
          <a:noFill/>
        </a:ln>
      </c:spPr>
    </c:plotArea>
    <c:legend>
      <c:layout>
        <c:manualLayout>
          <c:xMode val="edge"/>
          <c:yMode val="edge"/>
          <c:x val="0.6905"/>
          <c:y val="0.0957777777777778"/>
          <c:w val="0.203700231264454"/>
          <c:h val="0.238137570841205"/>
        </c:manualLayout>
      </c:layout>
      <c:spPr>
        <a:solidFill>
          <a:srgbClr val="ffffff"/>
        </a:solidFill>
        <a:ln>
          <a:noFill/>
        </a:ln>
      </c:spPr>
      <c:txPr>
        <a:bodyPr/>
        <a:lstStyle/>
        <a:p>
          <a:pPr>
            <a:defRPr b="0" sz="11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4493-3779-4893-9901-2B11D8EB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LibreOffice/6.2.0.3$Windows_x86 LibreOffice_project/98c6a8a1c6c7b144ce3cc729e34964b47ce25d62</Application>
  <Pages>7</Pages>
  <Words>1233</Words>
  <Characters>7893</Characters>
  <CharactersWithSpaces>8947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2021-04-08T12:09:00Z</dcterms:created>
  <dc:creator>Żuchowski Grzegorz</dc:creator>
  <dc:description/>
  <dc:language>pl-PL</dc:language>
  <cp:lastModifiedBy>Góral Beata</cp:lastModifiedBy>
  <dcterms:modified xsi:type="dcterms:W3CDTF">2021-07-06T10:17:00Z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