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FF5E0" w14:textId="77777777" w:rsidR="00B90A93" w:rsidRDefault="00B90A93" w:rsidP="006A3E58">
      <w:pPr>
        <w:spacing w:after="120" w:line="274" w:lineRule="auto"/>
        <w:rPr>
          <w:rFonts w:cstheme="minorHAnsi"/>
          <w:sz w:val="24"/>
          <w:szCs w:val="24"/>
        </w:rPr>
      </w:pPr>
    </w:p>
    <w:p w14:paraId="3BA0C6EC" w14:textId="667F6C05" w:rsidR="00604032" w:rsidRPr="006A3E58" w:rsidRDefault="00BE3FDB" w:rsidP="006A3E58">
      <w:pPr>
        <w:spacing w:after="120" w:line="274" w:lineRule="auto"/>
        <w:rPr>
          <w:rFonts w:cstheme="minorHAnsi"/>
          <w:sz w:val="24"/>
          <w:szCs w:val="24"/>
        </w:rPr>
      </w:pPr>
      <w:r w:rsidRPr="006A3E58">
        <w:rPr>
          <w:rFonts w:cstheme="minorHAnsi"/>
          <w:sz w:val="24"/>
          <w:szCs w:val="24"/>
        </w:rPr>
        <w:t>Zmiany wprowadzone w dokumentacji dotyczącej realizacji projektu grantowego „Bezpieczne WTZ i rehabilitacja społeczno-zawodowa osób z niepełnosprawnościami”:</w:t>
      </w:r>
    </w:p>
    <w:p w14:paraId="163E9AF6" w14:textId="6B1DBD1B" w:rsidR="00BE3FDB" w:rsidRPr="006A3E58" w:rsidRDefault="00BE3FDB" w:rsidP="006A3E58">
      <w:pPr>
        <w:pStyle w:val="Akapitzlist"/>
        <w:numPr>
          <w:ilvl w:val="0"/>
          <w:numId w:val="1"/>
        </w:numPr>
        <w:spacing w:after="120" w:line="274" w:lineRule="auto"/>
        <w:rPr>
          <w:rFonts w:cstheme="minorHAnsi"/>
          <w:sz w:val="24"/>
          <w:szCs w:val="24"/>
        </w:rPr>
      </w:pPr>
      <w:r w:rsidRPr="006A3E58">
        <w:rPr>
          <w:rFonts w:cstheme="minorHAnsi"/>
          <w:sz w:val="24"/>
          <w:szCs w:val="24"/>
        </w:rPr>
        <w:t>Procedura</w:t>
      </w:r>
    </w:p>
    <w:p w14:paraId="0C24FC26" w14:textId="5E7B3C5E" w:rsidR="00BE3FDB" w:rsidRPr="006A3E58" w:rsidRDefault="00BE3FDB" w:rsidP="006A3E58">
      <w:pPr>
        <w:pStyle w:val="NormalnyWeb"/>
        <w:numPr>
          <w:ilvl w:val="1"/>
          <w:numId w:val="3"/>
        </w:numPr>
        <w:spacing w:before="0" w:after="120" w:line="274" w:lineRule="auto"/>
        <w:ind w:left="1418" w:hanging="567"/>
        <w:rPr>
          <w:rFonts w:asciiTheme="minorHAnsi" w:eastAsiaTheme="minorEastAsia" w:hAnsiTheme="minorHAnsi" w:cstheme="minorHAnsi"/>
          <w:b/>
          <w:bCs/>
          <w:sz w:val="24"/>
          <w:szCs w:val="24"/>
        </w:rPr>
      </w:pPr>
      <w:r w:rsidRPr="00817176">
        <w:rPr>
          <w:rFonts w:asciiTheme="minorHAnsi" w:hAnsiTheme="minorHAnsi" w:cstheme="minorHAnsi"/>
          <w:sz w:val="24"/>
          <w:szCs w:val="24"/>
        </w:rPr>
        <w:t xml:space="preserve">wprowadzono zapis </w:t>
      </w:r>
      <w:r w:rsidR="00AA46A9" w:rsidRPr="00817176">
        <w:rPr>
          <w:rFonts w:asciiTheme="minorHAnsi" w:hAnsiTheme="minorHAnsi" w:cstheme="minorHAnsi"/>
          <w:sz w:val="24"/>
          <w:szCs w:val="24"/>
        </w:rPr>
        <w:t>– punkt 1.10</w:t>
      </w:r>
      <w:r w:rsidRPr="00817176">
        <w:rPr>
          <w:rFonts w:asciiTheme="minorHAnsi" w:hAnsiTheme="minorHAnsi" w:cstheme="minorHAnsi"/>
          <w:sz w:val="24"/>
          <w:szCs w:val="24"/>
        </w:rPr>
        <w:t>– realizator grantu, który ma celu umożliwienie rozliczenia środków grantów w sytuacji, gdy to bezpośrednio WTZ będzie dokonywał zakupów oraz będzie nabywcą i odbiorcą na fakturach. Zapis: ilekroć w procedurach jest mowa o „</w:t>
      </w:r>
      <w:r w:rsidRPr="00817176">
        <w:rPr>
          <w:rFonts w:asciiTheme="minorHAnsi" w:eastAsiaTheme="minorEastAsia" w:hAnsiTheme="minorHAnsi" w:cstheme="minorHAnsi"/>
          <w:sz w:val="24"/>
          <w:szCs w:val="24"/>
        </w:rPr>
        <w:t>realizatorze grantu – należy przez to rozumieć Warsztat Terapii Zajęciowej, który  posiada odrębny numer identyfikacji podatkowej od numeru identyfikacji podatkowej podmiotu prowadzącego (odbiorcy</w:t>
      </w:r>
      <w:r w:rsidRPr="006A3E58">
        <w:rPr>
          <w:rFonts w:asciiTheme="minorHAnsi" w:eastAsiaTheme="minorEastAsia" w:hAnsiTheme="minorHAnsi" w:cstheme="minorHAnsi"/>
          <w:sz w:val="24"/>
          <w:szCs w:val="24"/>
        </w:rPr>
        <w:t xml:space="preserve"> wsparcia) oraz prowadzi księgowość odrębną od księgowości podmiotu prowadzącego”;</w:t>
      </w:r>
    </w:p>
    <w:p w14:paraId="0A0645C1" w14:textId="2369EB14" w:rsidR="00AA46A9" w:rsidRPr="00817176" w:rsidRDefault="00817176" w:rsidP="006A3E58">
      <w:pPr>
        <w:pStyle w:val="NormalnyWeb"/>
        <w:numPr>
          <w:ilvl w:val="1"/>
          <w:numId w:val="3"/>
        </w:numPr>
        <w:spacing w:before="0" w:after="120" w:line="274" w:lineRule="auto"/>
        <w:ind w:left="1418" w:hanging="567"/>
        <w:rPr>
          <w:rFonts w:asciiTheme="minorHAnsi" w:eastAsiaTheme="minorEastAsia" w:hAnsiTheme="minorHAnsi" w:cstheme="minorHAnsi"/>
          <w:sz w:val="24"/>
          <w:szCs w:val="24"/>
        </w:rPr>
      </w:pPr>
      <w:r>
        <w:rPr>
          <w:rFonts w:asciiTheme="minorHAnsi" w:eastAsiaTheme="minorEastAsia" w:hAnsiTheme="minorHAnsi" w:cstheme="minorHAnsi"/>
          <w:sz w:val="24"/>
          <w:szCs w:val="24"/>
        </w:rPr>
        <w:t>w</w:t>
      </w:r>
      <w:r w:rsidR="00BE3FDB" w:rsidRPr="006A3E58">
        <w:rPr>
          <w:rFonts w:asciiTheme="minorHAnsi" w:eastAsiaTheme="minorEastAsia" w:hAnsiTheme="minorHAnsi" w:cstheme="minorHAnsi"/>
          <w:sz w:val="24"/>
          <w:szCs w:val="24"/>
        </w:rPr>
        <w:t xml:space="preserve"> punkcie 2.10.4 – </w:t>
      </w:r>
      <w:r w:rsidR="00BE3FDB" w:rsidRPr="00817176">
        <w:rPr>
          <w:rFonts w:asciiTheme="minorHAnsi" w:eastAsiaTheme="minorEastAsia" w:hAnsiTheme="minorHAnsi" w:cstheme="minorHAnsi"/>
          <w:sz w:val="24"/>
          <w:szCs w:val="24"/>
        </w:rPr>
        <w:t xml:space="preserve">doprecyzowano zapisy dotyczące okresu ponoszenia wydatków. </w:t>
      </w:r>
      <w:r w:rsidRPr="00D85525">
        <w:rPr>
          <w:rFonts w:asciiTheme="minorHAnsi" w:eastAsiaTheme="minorEastAsia" w:hAnsiTheme="minorHAnsi" w:cstheme="minorHAnsi"/>
          <w:b/>
          <w:bCs/>
          <w:sz w:val="24"/>
          <w:szCs w:val="24"/>
        </w:rPr>
        <w:t>Wcześniej</w:t>
      </w:r>
      <w:r w:rsidRPr="00817176">
        <w:rPr>
          <w:rFonts w:asciiTheme="minorHAnsi" w:eastAsiaTheme="minorEastAsia" w:hAnsiTheme="minorHAnsi" w:cstheme="minorHAnsi"/>
          <w:sz w:val="24"/>
          <w:szCs w:val="24"/>
        </w:rPr>
        <w:t xml:space="preserve">: </w:t>
      </w:r>
      <w:r w:rsidRPr="00D85525">
        <w:rPr>
          <w:rFonts w:asciiTheme="minorHAnsi" w:hAnsiTheme="minorHAnsi" w:cstheme="minorBidi"/>
          <w:i/>
          <w:iCs/>
          <w:sz w:val="24"/>
          <w:szCs w:val="24"/>
        </w:rPr>
        <w:t>poniesione w okresie wsparcia</w:t>
      </w:r>
      <w:r w:rsidRPr="00D85525">
        <w:rPr>
          <w:rFonts w:asciiTheme="minorHAnsi" w:hAnsiTheme="minorHAnsi" w:cstheme="minorBidi"/>
          <w:b/>
          <w:bCs/>
          <w:sz w:val="24"/>
          <w:szCs w:val="24"/>
        </w:rPr>
        <w:t>.</w:t>
      </w:r>
      <w:r w:rsidRPr="00D85525">
        <w:rPr>
          <w:rFonts w:asciiTheme="minorHAnsi" w:eastAsiaTheme="minorEastAsia" w:hAnsiTheme="minorHAnsi" w:cstheme="minorHAnsi"/>
          <w:b/>
          <w:bCs/>
          <w:sz w:val="24"/>
          <w:szCs w:val="24"/>
        </w:rPr>
        <w:t xml:space="preserve"> </w:t>
      </w:r>
      <w:r w:rsidR="00AA46A9" w:rsidRPr="00D85525">
        <w:rPr>
          <w:rFonts w:asciiTheme="minorHAnsi" w:eastAsiaTheme="minorEastAsia" w:hAnsiTheme="minorHAnsi" w:cstheme="minorHAnsi"/>
          <w:b/>
          <w:bCs/>
          <w:sz w:val="24"/>
          <w:szCs w:val="24"/>
        </w:rPr>
        <w:t>Aktualn</w:t>
      </w:r>
      <w:r w:rsidRPr="00D85525">
        <w:rPr>
          <w:rFonts w:asciiTheme="minorHAnsi" w:eastAsiaTheme="minorEastAsia" w:hAnsiTheme="minorHAnsi" w:cstheme="minorHAnsi"/>
          <w:b/>
          <w:bCs/>
          <w:sz w:val="24"/>
          <w:szCs w:val="24"/>
        </w:rPr>
        <w:t>ie</w:t>
      </w:r>
      <w:r w:rsidR="00BE3FDB" w:rsidRPr="00817176">
        <w:rPr>
          <w:rFonts w:asciiTheme="minorHAnsi" w:eastAsiaTheme="minorEastAsia" w:hAnsiTheme="minorHAnsi" w:cstheme="minorHAnsi"/>
          <w:sz w:val="24"/>
          <w:szCs w:val="24"/>
        </w:rPr>
        <w:t xml:space="preserve">: </w:t>
      </w:r>
      <w:r w:rsidR="00AA46A9" w:rsidRPr="00D85525">
        <w:rPr>
          <w:rFonts w:asciiTheme="minorHAnsi" w:eastAsiaTheme="minorEastAsia" w:hAnsiTheme="minorHAnsi" w:cstheme="minorHAnsi"/>
          <w:i/>
          <w:iCs/>
          <w:sz w:val="24"/>
          <w:szCs w:val="24"/>
        </w:rPr>
        <w:t xml:space="preserve">wydatki ponoszone ze środków grantu są kwalifikowalne , jeżeli są: </w:t>
      </w:r>
      <w:r w:rsidR="00BE3FDB" w:rsidRPr="00D85525">
        <w:rPr>
          <w:rFonts w:asciiTheme="minorHAnsi" w:hAnsiTheme="minorHAnsi" w:cstheme="minorHAnsi"/>
          <w:i/>
          <w:iCs/>
          <w:sz w:val="24"/>
          <w:szCs w:val="24"/>
        </w:rPr>
        <w:t>poniesione w okresie od 01 czerwca 2020 r., jednak nie później niż do ostatniego dnia okresu wsparcia wskazanego w umowie powierzenia grantu</w:t>
      </w:r>
      <w:r w:rsidR="00D85525">
        <w:rPr>
          <w:rFonts w:asciiTheme="minorHAnsi" w:hAnsiTheme="minorHAnsi" w:cstheme="minorHAnsi"/>
          <w:i/>
          <w:iCs/>
          <w:sz w:val="24"/>
          <w:szCs w:val="24"/>
        </w:rPr>
        <w:t>;</w:t>
      </w:r>
      <w:r w:rsidR="00AA46A9" w:rsidRPr="00817176">
        <w:rPr>
          <w:rFonts w:asciiTheme="minorHAnsi" w:hAnsiTheme="minorHAnsi" w:cstheme="minorHAnsi"/>
          <w:sz w:val="24"/>
          <w:szCs w:val="24"/>
        </w:rPr>
        <w:t xml:space="preserve"> </w:t>
      </w:r>
    </w:p>
    <w:p w14:paraId="121B74D0" w14:textId="65AC14DE" w:rsidR="00AA46A9" w:rsidRPr="006A3E58" w:rsidRDefault="00817176" w:rsidP="006A3E58">
      <w:pPr>
        <w:pStyle w:val="NormalnyWeb"/>
        <w:numPr>
          <w:ilvl w:val="1"/>
          <w:numId w:val="3"/>
        </w:numPr>
        <w:spacing w:before="0" w:after="120" w:line="274" w:lineRule="auto"/>
        <w:ind w:left="1418" w:hanging="567"/>
        <w:rPr>
          <w:rFonts w:asciiTheme="minorHAnsi" w:eastAsiaTheme="minorEastAsia" w:hAnsiTheme="minorHAnsi" w:cstheme="minorHAnsi"/>
          <w:sz w:val="24"/>
          <w:szCs w:val="24"/>
        </w:rPr>
      </w:pPr>
      <w:r>
        <w:rPr>
          <w:rFonts w:asciiTheme="minorHAnsi" w:eastAsiaTheme="minorEastAsia" w:hAnsiTheme="minorHAnsi" w:cstheme="minorHAnsi"/>
          <w:sz w:val="24"/>
          <w:szCs w:val="24"/>
        </w:rPr>
        <w:t>w</w:t>
      </w:r>
      <w:r w:rsidR="00AA46A9" w:rsidRPr="006A3E58">
        <w:rPr>
          <w:rFonts w:asciiTheme="minorHAnsi" w:eastAsiaTheme="minorEastAsia" w:hAnsiTheme="minorHAnsi" w:cstheme="minorHAnsi"/>
          <w:sz w:val="24"/>
          <w:szCs w:val="24"/>
        </w:rPr>
        <w:t xml:space="preserve"> punkcie 2.10.6 – </w:t>
      </w:r>
      <w:r w:rsidRPr="00817176">
        <w:rPr>
          <w:rFonts w:asciiTheme="minorHAnsi" w:eastAsiaTheme="minorEastAsia" w:hAnsiTheme="minorHAnsi" w:cstheme="minorHAnsi"/>
          <w:sz w:val="24"/>
          <w:szCs w:val="24"/>
        </w:rPr>
        <w:t xml:space="preserve">uogólniono zapisy.  </w:t>
      </w:r>
      <w:r w:rsidRPr="00D85525">
        <w:rPr>
          <w:rFonts w:asciiTheme="minorHAnsi" w:eastAsiaTheme="minorEastAsia" w:hAnsiTheme="minorHAnsi" w:cstheme="minorHAnsi"/>
          <w:b/>
          <w:bCs/>
          <w:sz w:val="24"/>
          <w:szCs w:val="24"/>
        </w:rPr>
        <w:t>Wcześniej</w:t>
      </w:r>
      <w:r w:rsidRPr="00817176">
        <w:rPr>
          <w:rFonts w:asciiTheme="minorHAnsi" w:eastAsiaTheme="minorEastAsia" w:hAnsiTheme="minorHAnsi" w:cstheme="minorHAnsi"/>
          <w:sz w:val="24"/>
          <w:szCs w:val="24"/>
        </w:rPr>
        <w:t xml:space="preserve">: </w:t>
      </w:r>
      <w:r w:rsidRPr="00D85525">
        <w:rPr>
          <w:rFonts w:asciiTheme="minorHAnsi" w:hAnsiTheme="minorHAnsi" w:cstheme="minorBidi"/>
          <w:i/>
          <w:iCs/>
          <w:sz w:val="24"/>
          <w:szCs w:val="24"/>
        </w:rPr>
        <w:t xml:space="preserve">poparte dowodami księgowymi i wykazane w dokumentacji finansowej </w:t>
      </w:r>
      <w:proofErr w:type="spellStart"/>
      <w:r w:rsidRPr="00D85525">
        <w:rPr>
          <w:rFonts w:asciiTheme="minorHAnsi" w:hAnsiTheme="minorHAnsi" w:cstheme="minorBidi"/>
          <w:i/>
          <w:iCs/>
          <w:sz w:val="24"/>
          <w:szCs w:val="24"/>
        </w:rPr>
        <w:t>grantobiorcy</w:t>
      </w:r>
      <w:proofErr w:type="spellEnd"/>
      <w:r w:rsidRPr="00D85525">
        <w:rPr>
          <w:rFonts w:asciiTheme="minorHAnsi" w:hAnsiTheme="minorHAnsi" w:cstheme="minorBidi"/>
          <w:i/>
          <w:iCs/>
          <w:sz w:val="24"/>
          <w:szCs w:val="24"/>
        </w:rPr>
        <w:t xml:space="preserve"> w sposób zapewniający powiązanie z projektem grantowym</w:t>
      </w:r>
      <w:r w:rsidRPr="00D85525">
        <w:rPr>
          <w:rFonts w:asciiTheme="minorHAnsi" w:eastAsiaTheme="minorEastAsia" w:hAnsiTheme="minorHAnsi" w:cstheme="minorHAnsi"/>
          <w:i/>
          <w:iCs/>
          <w:sz w:val="24"/>
          <w:szCs w:val="24"/>
        </w:rPr>
        <w:t>.</w:t>
      </w:r>
      <w:r w:rsidRPr="00817176">
        <w:rPr>
          <w:rFonts w:asciiTheme="minorHAnsi" w:eastAsiaTheme="minorEastAsia" w:hAnsiTheme="minorHAnsi" w:cstheme="minorHAnsi"/>
          <w:sz w:val="24"/>
          <w:szCs w:val="24"/>
        </w:rPr>
        <w:t xml:space="preserve"> </w:t>
      </w:r>
      <w:r w:rsidRPr="00D85525">
        <w:rPr>
          <w:rFonts w:asciiTheme="minorHAnsi" w:eastAsiaTheme="minorEastAsia" w:hAnsiTheme="minorHAnsi" w:cstheme="minorHAnsi"/>
          <w:b/>
          <w:bCs/>
          <w:sz w:val="24"/>
          <w:szCs w:val="24"/>
        </w:rPr>
        <w:t>A</w:t>
      </w:r>
      <w:r w:rsidR="00AA46A9" w:rsidRPr="00D85525">
        <w:rPr>
          <w:rFonts w:asciiTheme="minorHAnsi" w:eastAsiaTheme="minorEastAsia" w:hAnsiTheme="minorHAnsi" w:cstheme="minorHAnsi"/>
          <w:b/>
          <w:bCs/>
          <w:sz w:val="24"/>
          <w:szCs w:val="24"/>
        </w:rPr>
        <w:t>ktualni</w:t>
      </w:r>
      <w:r w:rsidRPr="00D85525">
        <w:rPr>
          <w:rFonts w:asciiTheme="minorHAnsi" w:eastAsiaTheme="minorEastAsia" w:hAnsiTheme="minorHAnsi" w:cstheme="minorHAnsi"/>
          <w:b/>
          <w:bCs/>
          <w:sz w:val="24"/>
          <w:szCs w:val="24"/>
        </w:rPr>
        <w:t>e</w:t>
      </w:r>
      <w:r w:rsidRPr="00817176">
        <w:rPr>
          <w:rFonts w:asciiTheme="minorHAnsi" w:eastAsiaTheme="minorEastAsia" w:hAnsiTheme="minorHAnsi" w:cstheme="minorHAnsi"/>
          <w:sz w:val="24"/>
          <w:szCs w:val="24"/>
        </w:rPr>
        <w:t>:</w:t>
      </w:r>
      <w:r w:rsidR="00AA46A9" w:rsidRPr="00817176">
        <w:rPr>
          <w:rFonts w:asciiTheme="minorHAnsi" w:eastAsiaTheme="minorEastAsia" w:hAnsiTheme="minorHAnsi" w:cstheme="minorHAnsi"/>
          <w:sz w:val="24"/>
          <w:szCs w:val="24"/>
        </w:rPr>
        <w:t xml:space="preserve"> </w:t>
      </w:r>
      <w:r w:rsidR="00AA46A9" w:rsidRPr="00D85525">
        <w:rPr>
          <w:rFonts w:asciiTheme="minorHAnsi" w:eastAsiaTheme="minorEastAsia" w:hAnsiTheme="minorHAnsi" w:cstheme="minorHAnsi"/>
          <w:i/>
          <w:iCs/>
          <w:sz w:val="24"/>
          <w:szCs w:val="24"/>
        </w:rPr>
        <w:t xml:space="preserve">wydatki ponoszone ze środków grantu są kwalifikowalne , jeżeli są: </w:t>
      </w:r>
      <w:r w:rsidR="00AA46A9" w:rsidRPr="00D85525">
        <w:rPr>
          <w:rFonts w:asciiTheme="minorHAnsi" w:hAnsiTheme="minorHAnsi" w:cstheme="minorHAnsi"/>
          <w:i/>
          <w:iCs/>
          <w:sz w:val="24"/>
          <w:szCs w:val="24"/>
        </w:rPr>
        <w:t>poparte dowodami księgowymi, opisanymi w sposób zapewniający powiązanie z projektem grantowym</w:t>
      </w:r>
      <w:r w:rsidR="00AA46A9" w:rsidRPr="00817176">
        <w:rPr>
          <w:rFonts w:asciiTheme="minorHAnsi" w:hAnsiTheme="minorHAnsi" w:cstheme="minorHAnsi"/>
          <w:sz w:val="24"/>
          <w:szCs w:val="24"/>
        </w:rPr>
        <w:t>;</w:t>
      </w:r>
    </w:p>
    <w:p w14:paraId="16DA3507" w14:textId="1BB5ECFB" w:rsidR="00AA46A9" w:rsidRPr="006A3E58" w:rsidRDefault="00817176" w:rsidP="00001567">
      <w:pPr>
        <w:pStyle w:val="NormalnyWeb"/>
        <w:numPr>
          <w:ilvl w:val="1"/>
          <w:numId w:val="3"/>
        </w:numPr>
        <w:spacing w:before="0" w:after="120" w:line="274" w:lineRule="auto"/>
        <w:ind w:left="1418" w:hanging="567"/>
        <w:rPr>
          <w:rFonts w:asciiTheme="minorHAnsi" w:eastAsiaTheme="minorEastAsia" w:hAnsiTheme="minorHAnsi" w:cstheme="minorHAnsi"/>
          <w:sz w:val="24"/>
          <w:szCs w:val="24"/>
        </w:rPr>
      </w:pPr>
      <w:r>
        <w:rPr>
          <w:rFonts w:asciiTheme="minorHAnsi" w:eastAsiaTheme="minorEastAsia" w:hAnsiTheme="minorHAnsi" w:cstheme="minorHAnsi"/>
          <w:sz w:val="24"/>
          <w:szCs w:val="24"/>
        </w:rPr>
        <w:t>w</w:t>
      </w:r>
      <w:r w:rsidR="00AA46A9" w:rsidRPr="006A3E58">
        <w:rPr>
          <w:rFonts w:asciiTheme="minorHAnsi" w:eastAsiaTheme="minorEastAsia" w:hAnsiTheme="minorHAnsi" w:cstheme="minorHAnsi"/>
          <w:sz w:val="24"/>
          <w:szCs w:val="24"/>
        </w:rPr>
        <w:t xml:space="preserve">prowadzono zapis – punkt 2.11 – doprecyzowano zapisy dotyczące zasad kwalifikowalności grantu w oparciu o materiał IZ POWER </w:t>
      </w:r>
      <w:r w:rsidR="00AA46A9" w:rsidRPr="00C72048">
        <w:rPr>
          <w:rFonts w:asciiTheme="minorHAnsi" w:eastAsiaTheme="minorEastAsia" w:hAnsiTheme="minorHAnsi" w:cstheme="minorHAnsi"/>
          <w:i/>
          <w:iCs/>
          <w:sz w:val="24"/>
          <w:szCs w:val="24"/>
        </w:rPr>
        <w:t xml:space="preserve">Informacje dla beneficjentów projektów grantowych i </w:t>
      </w:r>
      <w:proofErr w:type="spellStart"/>
      <w:r w:rsidR="00AA46A9" w:rsidRPr="00C72048">
        <w:rPr>
          <w:rFonts w:asciiTheme="minorHAnsi" w:eastAsiaTheme="minorEastAsia" w:hAnsiTheme="minorHAnsi" w:cstheme="minorHAnsi"/>
          <w:i/>
          <w:iCs/>
          <w:sz w:val="24"/>
          <w:szCs w:val="24"/>
        </w:rPr>
        <w:t>grantobiorców</w:t>
      </w:r>
      <w:proofErr w:type="spellEnd"/>
      <w:r w:rsidR="00AA46A9" w:rsidRPr="00C72048">
        <w:rPr>
          <w:rFonts w:asciiTheme="minorHAnsi" w:eastAsiaTheme="minorEastAsia" w:hAnsiTheme="minorHAnsi" w:cstheme="minorHAnsi"/>
          <w:i/>
          <w:iCs/>
          <w:sz w:val="24"/>
          <w:szCs w:val="24"/>
        </w:rPr>
        <w:t xml:space="preserve"> (działania COVID-19)</w:t>
      </w:r>
      <w:r w:rsidR="00AA46A9" w:rsidRPr="006A3E58">
        <w:rPr>
          <w:rFonts w:asciiTheme="minorHAnsi" w:eastAsiaTheme="minorEastAsia" w:hAnsiTheme="minorHAnsi" w:cstheme="minorHAnsi"/>
          <w:sz w:val="24"/>
          <w:szCs w:val="24"/>
        </w:rPr>
        <w:t>. Zapis: Wydatki, które nie są kosztami kwalifikowalnymi to</w:t>
      </w:r>
      <w:r w:rsidR="00EF1AB4">
        <w:rPr>
          <w:rFonts w:asciiTheme="minorHAnsi" w:eastAsiaTheme="minorEastAsia" w:hAnsiTheme="minorHAnsi" w:cstheme="minorHAnsi"/>
          <w:sz w:val="24"/>
          <w:szCs w:val="24"/>
        </w:rPr>
        <w:t xml:space="preserve"> w szczególności</w:t>
      </w:r>
      <w:r w:rsidR="00AA46A9" w:rsidRPr="006A3E58">
        <w:rPr>
          <w:rFonts w:asciiTheme="minorHAnsi" w:eastAsiaTheme="minorEastAsia" w:hAnsiTheme="minorHAnsi" w:cstheme="minorHAnsi"/>
          <w:sz w:val="24"/>
          <w:szCs w:val="24"/>
        </w:rPr>
        <w:t>:</w:t>
      </w:r>
    </w:p>
    <w:p w14:paraId="253BFFA9" w14:textId="4BCEC5DE" w:rsidR="00AA46A9" w:rsidRPr="006A3E58" w:rsidRDefault="00AA46A9" w:rsidP="00CD4ABA">
      <w:pPr>
        <w:pStyle w:val="Standard"/>
        <w:numPr>
          <w:ilvl w:val="2"/>
          <w:numId w:val="13"/>
        </w:numPr>
        <w:spacing w:after="120" w:line="274" w:lineRule="auto"/>
        <w:ind w:left="2127"/>
        <w:rPr>
          <w:rFonts w:asciiTheme="minorHAnsi" w:eastAsiaTheme="minorEastAsia" w:hAnsiTheme="minorHAnsi" w:cstheme="minorHAnsi"/>
          <w:lang w:eastAsia="pl-PL"/>
        </w:rPr>
      </w:pPr>
      <w:r w:rsidRPr="006A3E58">
        <w:rPr>
          <w:rFonts w:asciiTheme="minorHAnsi" w:eastAsiaTheme="minorEastAsia" w:hAnsiTheme="minorHAnsi" w:cstheme="minorHAnsi"/>
          <w:lang w:eastAsia="pl-PL"/>
        </w:rPr>
        <w:t>wydatki w ramach cross-</w:t>
      </w:r>
      <w:proofErr w:type="spellStart"/>
      <w:r w:rsidRPr="006A3E58">
        <w:rPr>
          <w:rFonts w:asciiTheme="minorHAnsi" w:eastAsiaTheme="minorEastAsia" w:hAnsiTheme="minorHAnsi" w:cstheme="minorHAnsi"/>
          <w:lang w:eastAsia="pl-PL"/>
        </w:rPr>
        <w:t>financingu</w:t>
      </w:r>
      <w:proofErr w:type="spellEnd"/>
      <w:r w:rsidRPr="006A3E58">
        <w:rPr>
          <w:rFonts w:asciiTheme="minorHAnsi" w:eastAsiaTheme="minorEastAsia" w:hAnsiTheme="minorHAnsi" w:cstheme="minorHAnsi"/>
          <w:lang w:eastAsia="pl-PL"/>
        </w:rPr>
        <w:t>;</w:t>
      </w:r>
    </w:p>
    <w:p w14:paraId="09CBCA51" w14:textId="7550B469" w:rsidR="00AA46A9" w:rsidRPr="006A3E58" w:rsidRDefault="00AA46A9" w:rsidP="00CD4ABA">
      <w:pPr>
        <w:pStyle w:val="Standard"/>
        <w:numPr>
          <w:ilvl w:val="2"/>
          <w:numId w:val="13"/>
        </w:numPr>
        <w:spacing w:after="120" w:line="274" w:lineRule="auto"/>
        <w:ind w:left="2127"/>
        <w:rPr>
          <w:rFonts w:asciiTheme="minorHAnsi" w:eastAsiaTheme="minorEastAsia" w:hAnsiTheme="minorHAnsi" w:cstheme="minorHAnsi"/>
          <w:lang w:eastAsia="pl-PL"/>
        </w:rPr>
      </w:pPr>
      <w:r w:rsidRPr="006A3E58">
        <w:rPr>
          <w:rFonts w:asciiTheme="minorHAnsi" w:eastAsiaTheme="minorEastAsia" w:hAnsiTheme="minorHAnsi" w:cstheme="minorHAnsi"/>
          <w:lang w:eastAsia="pl-PL"/>
        </w:rPr>
        <w:t>koszty administracyjne związane z obsługą projektu;</w:t>
      </w:r>
    </w:p>
    <w:p w14:paraId="6A1D49AF" w14:textId="467741DA" w:rsidR="00AA46A9" w:rsidRPr="006A3E58" w:rsidRDefault="00AA46A9" w:rsidP="00CD4ABA">
      <w:pPr>
        <w:pStyle w:val="Standard"/>
        <w:numPr>
          <w:ilvl w:val="2"/>
          <w:numId w:val="13"/>
        </w:numPr>
        <w:spacing w:after="120" w:line="274" w:lineRule="auto"/>
        <w:ind w:left="2127"/>
        <w:rPr>
          <w:rFonts w:asciiTheme="minorHAnsi" w:eastAsiaTheme="minorEastAsia" w:hAnsiTheme="minorHAnsi" w:cstheme="minorHAnsi"/>
          <w:lang w:eastAsia="pl-PL"/>
        </w:rPr>
      </w:pPr>
      <w:r w:rsidRPr="006A3E58">
        <w:rPr>
          <w:rFonts w:asciiTheme="minorHAnsi" w:eastAsiaTheme="minorEastAsia" w:hAnsiTheme="minorHAnsi" w:cstheme="minorHAnsi"/>
          <w:lang w:eastAsia="pl-PL"/>
        </w:rPr>
        <w:t>koszty ewaluacji</w:t>
      </w:r>
      <w:r w:rsidR="00D85525">
        <w:rPr>
          <w:rFonts w:asciiTheme="minorHAnsi" w:eastAsiaTheme="minorEastAsia" w:hAnsiTheme="minorHAnsi" w:cstheme="minorHAnsi"/>
          <w:lang w:eastAsia="pl-PL"/>
        </w:rPr>
        <w:t>;</w:t>
      </w:r>
    </w:p>
    <w:p w14:paraId="3D7E9597" w14:textId="379EF518" w:rsidR="00AA46A9" w:rsidRPr="00C72048" w:rsidRDefault="00AA46A9" w:rsidP="00C72048">
      <w:pPr>
        <w:pStyle w:val="Standard"/>
        <w:numPr>
          <w:ilvl w:val="1"/>
          <w:numId w:val="3"/>
        </w:numPr>
        <w:spacing w:after="120" w:line="360" w:lineRule="auto"/>
        <w:ind w:left="1418" w:hanging="567"/>
        <w:rPr>
          <w:rFonts w:asciiTheme="minorHAnsi" w:eastAsiaTheme="minorEastAsia" w:hAnsiTheme="minorHAnsi" w:cstheme="minorBidi"/>
          <w:lang w:eastAsia="pl-PL"/>
        </w:rPr>
      </w:pPr>
      <w:r w:rsidRPr="006A3E58">
        <w:rPr>
          <w:rFonts w:asciiTheme="minorHAnsi" w:eastAsiaTheme="minorEastAsia" w:hAnsiTheme="minorHAnsi" w:cstheme="minorHAnsi"/>
        </w:rPr>
        <w:t xml:space="preserve">W punkcie 2.12 – </w:t>
      </w:r>
      <w:bookmarkStart w:id="0" w:name="_Hlk50758087"/>
      <w:r w:rsidRPr="006A3E58">
        <w:rPr>
          <w:rFonts w:asciiTheme="minorHAnsi" w:eastAsiaTheme="minorEastAsia" w:hAnsiTheme="minorHAnsi" w:cstheme="minorHAnsi"/>
        </w:rPr>
        <w:t>wprowadzono zapis realizator grantu</w:t>
      </w:r>
      <w:r w:rsidRPr="00D85525">
        <w:rPr>
          <w:rFonts w:asciiTheme="minorHAnsi" w:eastAsiaTheme="minorEastAsia" w:hAnsiTheme="minorHAnsi" w:cstheme="minorHAnsi"/>
          <w:b/>
          <w:bCs/>
        </w:rPr>
        <w:t xml:space="preserve">. </w:t>
      </w:r>
      <w:bookmarkEnd w:id="0"/>
      <w:r w:rsidR="00C72048" w:rsidRPr="00D85525">
        <w:rPr>
          <w:rFonts w:asciiTheme="minorHAnsi" w:eastAsiaTheme="minorEastAsia" w:hAnsiTheme="minorHAnsi" w:cstheme="minorHAnsi"/>
          <w:b/>
          <w:bCs/>
        </w:rPr>
        <w:t>Wcześniej</w:t>
      </w:r>
      <w:r w:rsidR="00C72048">
        <w:rPr>
          <w:rFonts w:asciiTheme="minorHAnsi" w:eastAsiaTheme="minorEastAsia" w:hAnsiTheme="minorHAnsi" w:cstheme="minorHAnsi"/>
        </w:rPr>
        <w:t xml:space="preserve"> pkt 2.11 </w:t>
      </w:r>
      <w:r w:rsidR="00C72048" w:rsidRPr="00D85525">
        <w:rPr>
          <w:rFonts w:asciiTheme="minorHAnsi" w:hAnsiTheme="minorHAnsi" w:cstheme="minorBidi"/>
          <w:i/>
          <w:iCs/>
        </w:rPr>
        <w:t xml:space="preserve">Podatki i inne opłaty, w szczególności podatek VAT, mogą być uznane za wydatki kwalifikowalne tylko wtedy, gdy brak jest prawnej możliwości ich odzyskania przez </w:t>
      </w:r>
      <w:proofErr w:type="spellStart"/>
      <w:r w:rsidR="00C72048" w:rsidRPr="00D85525">
        <w:rPr>
          <w:rFonts w:asciiTheme="minorHAnsi" w:hAnsiTheme="minorHAnsi" w:cstheme="minorBidi"/>
          <w:i/>
          <w:iCs/>
        </w:rPr>
        <w:t>grantobiorcę</w:t>
      </w:r>
      <w:proofErr w:type="spellEnd"/>
      <w:r w:rsidR="00C72048" w:rsidRPr="00D85525">
        <w:rPr>
          <w:rFonts w:asciiTheme="minorHAnsi" w:hAnsiTheme="minorHAnsi" w:cstheme="minorBidi"/>
          <w:i/>
          <w:iCs/>
        </w:rPr>
        <w:t xml:space="preserve"> na mocy prawodawstwa krajowego</w:t>
      </w:r>
      <w:r w:rsidR="00C72048" w:rsidRPr="5AF2F2ED">
        <w:rPr>
          <w:rFonts w:asciiTheme="minorHAnsi" w:hAnsiTheme="minorHAnsi" w:cstheme="minorBidi"/>
        </w:rPr>
        <w:t>.</w:t>
      </w:r>
      <w:r w:rsidR="00C72048">
        <w:rPr>
          <w:rFonts w:asciiTheme="minorHAnsi" w:hAnsiTheme="minorHAnsi" w:cstheme="minorBidi"/>
        </w:rPr>
        <w:t xml:space="preserve"> </w:t>
      </w:r>
      <w:r w:rsidRPr="00D85525">
        <w:rPr>
          <w:rFonts w:asciiTheme="minorHAnsi" w:eastAsiaTheme="minorEastAsia" w:hAnsiTheme="minorHAnsi" w:cstheme="minorHAnsi"/>
          <w:b/>
          <w:bCs/>
        </w:rPr>
        <w:t>Aktualn</w:t>
      </w:r>
      <w:r w:rsidR="00C72048" w:rsidRPr="00D85525">
        <w:rPr>
          <w:rFonts w:asciiTheme="minorHAnsi" w:eastAsiaTheme="minorEastAsia" w:hAnsiTheme="minorHAnsi" w:cstheme="minorHAnsi"/>
          <w:b/>
          <w:bCs/>
        </w:rPr>
        <w:t>ie</w:t>
      </w:r>
      <w:r w:rsidRPr="00C72048">
        <w:rPr>
          <w:rFonts w:asciiTheme="minorHAnsi" w:eastAsiaTheme="minorEastAsia" w:hAnsiTheme="minorHAnsi" w:cstheme="minorHAnsi"/>
        </w:rPr>
        <w:t xml:space="preserve">: </w:t>
      </w:r>
      <w:r w:rsidRPr="00D85525">
        <w:rPr>
          <w:rFonts w:asciiTheme="minorHAnsi" w:hAnsiTheme="minorHAnsi" w:cstheme="minorHAnsi"/>
          <w:i/>
          <w:iCs/>
        </w:rPr>
        <w:t xml:space="preserve">Podatki i inne opłaty, w szczególności podatek VAT, mogą być uznane za wydatki kwalifikowalne tylko wtedy, gdy brak jest prawnej możliwości ich </w:t>
      </w:r>
      <w:r w:rsidRPr="00D85525">
        <w:rPr>
          <w:rFonts w:asciiTheme="minorHAnsi" w:hAnsiTheme="minorHAnsi" w:cstheme="minorHAnsi"/>
          <w:i/>
          <w:iCs/>
        </w:rPr>
        <w:lastRenderedPageBreak/>
        <w:t xml:space="preserve">odzyskania przez </w:t>
      </w:r>
      <w:proofErr w:type="spellStart"/>
      <w:r w:rsidRPr="00D85525">
        <w:rPr>
          <w:rFonts w:asciiTheme="minorHAnsi" w:hAnsiTheme="minorHAnsi" w:cstheme="minorHAnsi"/>
          <w:i/>
          <w:iCs/>
        </w:rPr>
        <w:t>grantobiorcę</w:t>
      </w:r>
      <w:proofErr w:type="spellEnd"/>
      <w:r w:rsidRPr="00D85525">
        <w:rPr>
          <w:rFonts w:asciiTheme="minorHAnsi" w:hAnsiTheme="minorHAnsi" w:cstheme="minorHAnsi"/>
          <w:i/>
          <w:iCs/>
          <w:color w:val="000000" w:themeColor="text1"/>
        </w:rPr>
        <w:t xml:space="preserve">/realizatora grantu </w:t>
      </w:r>
      <w:r w:rsidRPr="00D85525">
        <w:rPr>
          <w:rFonts w:asciiTheme="minorHAnsi" w:hAnsiTheme="minorHAnsi" w:cstheme="minorHAnsi"/>
          <w:i/>
          <w:iCs/>
        </w:rPr>
        <w:t>na mocy prawodawstwa krajowego</w:t>
      </w:r>
      <w:r w:rsidR="00D85525">
        <w:rPr>
          <w:rFonts w:asciiTheme="minorHAnsi" w:hAnsiTheme="minorHAnsi" w:cstheme="minorHAnsi"/>
          <w:i/>
          <w:iCs/>
        </w:rPr>
        <w:t>;</w:t>
      </w:r>
    </w:p>
    <w:p w14:paraId="458A51BA" w14:textId="2FAC144F" w:rsidR="007775C2" w:rsidRPr="00CD4ABA" w:rsidRDefault="00D85525" w:rsidP="00CD4ABA">
      <w:pPr>
        <w:pStyle w:val="Standard"/>
        <w:numPr>
          <w:ilvl w:val="1"/>
          <w:numId w:val="3"/>
        </w:numPr>
        <w:spacing w:after="120" w:line="274" w:lineRule="auto"/>
        <w:ind w:left="1418" w:hanging="567"/>
        <w:rPr>
          <w:rFonts w:asciiTheme="minorHAnsi" w:eastAsiaTheme="minorEastAsia" w:hAnsiTheme="minorHAnsi" w:cstheme="minorHAnsi"/>
          <w:i/>
          <w:iCs/>
        </w:rPr>
      </w:pPr>
      <w:r>
        <w:rPr>
          <w:rFonts w:asciiTheme="minorHAnsi" w:eastAsiaTheme="minorEastAsia" w:hAnsiTheme="minorHAnsi" w:cstheme="minorHAnsi"/>
        </w:rPr>
        <w:t>w</w:t>
      </w:r>
      <w:r w:rsidR="00AA46A9" w:rsidRPr="00C72048">
        <w:rPr>
          <w:rFonts w:asciiTheme="minorHAnsi" w:eastAsiaTheme="minorEastAsia" w:hAnsiTheme="minorHAnsi" w:cstheme="minorHAnsi"/>
        </w:rPr>
        <w:t xml:space="preserve"> punkcie 3.4 – wprowadzono zapis umożliwiający udział w uzupełniającym naborze podmiotom, które </w:t>
      </w:r>
      <w:r w:rsidR="007775C2" w:rsidRPr="00C72048">
        <w:rPr>
          <w:rFonts w:asciiTheme="minorHAnsi" w:eastAsiaTheme="minorEastAsia" w:hAnsiTheme="minorHAnsi" w:cstheme="minorHAnsi"/>
        </w:rPr>
        <w:t xml:space="preserve">wycofały złożone wnioski. </w:t>
      </w:r>
      <w:r w:rsidR="00C72048" w:rsidRPr="00C72048">
        <w:rPr>
          <w:rFonts w:asciiTheme="minorHAnsi" w:eastAsiaTheme="minorEastAsia" w:hAnsiTheme="minorHAnsi" w:cstheme="minorHAnsi"/>
        </w:rPr>
        <w:t xml:space="preserve">Wcześniej: </w:t>
      </w:r>
      <w:r w:rsidR="00C72048" w:rsidRPr="00D85525">
        <w:rPr>
          <w:rFonts w:asciiTheme="minorHAnsi" w:hAnsiTheme="minorHAnsi" w:cstheme="minorBidi"/>
          <w:i/>
          <w:iCs/>
        </w:rPr>
        <w:t>W przypadku, gdy po rozstrzygnięciu naboru wniosków, o którym mowa w ust. 3.3, w budżecie projektu pozostaną środki pozwalające na udzielenie kolejnych grantów, dopuszcza się możliwość przeprowadzenia uzupełniającego naboru wniosków otwartego dla tych odbiorców wsparcia, którzy nie złożyli wniosków dotyczących danego warsztatu terapii zajęciowej lub umowy o zlecenie realizacji zadań przez PFRON lub których wnioski zostały ocenione negatywnie. Nabór ten nie będzie trwał dłużej niż 7 dni kalendarzowych</w:t>
      </w:r>
      <w:r w:rsidR="00C72048" w:rsidRPr="00C72048">
        <w:rPr>
          <w:rFonts w:asciiTheme="minorHAnsi" w:hAnsiTheme="minorHAnsi" w:cstheme="minorBidi"/>
        </w:rPr>
        <w:t xml:space="preserve">. </w:t>
      </w:r>
      <w:r w:rsidR="00C72048" w:rsidRPr="00D85525">
        <w:rPr>
          <w:rFonts w:asciiTheme="minorHAnsi" w:hAnsiTheme="minorHAnsi" w:cstheme="minorBidi"/>
          <w:b/>
          <w:bCs/>
        </w:rPr>
        <w:t>A</w:t>
      </w:r>
      <w:r w:rsidR="007775C2" w:rsidRPr="00D85525">
        <w:rPr>
          <w:rFonts w:asciiTheme="minorHAnsi" w:eastAsiaTheme="minorEastAsia" w:hAnsiTheme="minorHAnsi" w:cstheme="minorHAnsi"/>
          <w:b/>
          <w:bCs/>
        </w:rPr>
        <w:t>ktualn</w:t>
      </w:r>
      <w:r w:rsidR="00C72048" w:rsidRPr="00D85525">
        <w:rPr>
          <w:rFonts w:asciiTheme="minorHAnsi" w:eastAsiaTheme="minorEastAsia" w:hAnsiTheme="minorHAnsi" w:cstheme="minorHAnsi"/>
          <w:b/>
          <w:bCs/>
        </w:rPr>
        <w:t>ie</w:t>
      </w:r>
      <w:r w:rsidR="007775C2" w:rsidRPr="00D85525">
        <w:rPr>
          <w:rFonts w:asciiTheme="minorHAnsi" w:eastAsiaTheme="minorEastAsia" w:hAnsiTheme="minorHAnsi" w:cstheme="minorHAnsi"/>
          <w:b/>
          <w:bCs/>
        </w:rPr>
        <w:t>:</w:t>
      </w:r>
      <w:r w:rsidR="007775C2" w:rsidRPr="00C72048">
        <w:rPr>
          <w:rFonts w:asciiTheme="minorHAnsi" w:eastAsiaTheme="minorEastAsia" w:hAnsiTheme="minorHAnsi" w:cstheme="minorHAnsi"/>
        </w:rPr>
        <w:t xml:space="preserve"> </w:t>
      </w:r>
      <w:r w:rsidR="007775C2" w:rsidRPr="00D85525">
        <w:rPr>
          <w:rFonts w:asciiTheme="minorHAnsi" w:hAnsiTheme="minorHAnsi" w:cstheme="minorHAnsi"/>
          <w:i/>
          <w:iCs/>
        </w:rPr>
        <w:t>W przypadku, gdy po rozstrzygnięciu naboru wniosków, o którym mowa w ust. 3.3, w budżecie projektu pozostaną środki pozwalające na udzielenie kolejnych grantów, dopuszcza się możliwość przeprowadzenia uzupełniającego naboru wniosków otwartego dla tych odbiorców wsparcia:</w:t>
      </w:r>
    </w:p>
    <w:p w14:paraId="666E2908" w14:textId="7A53FBD5" w:rsidR="007775C2" w:rsidRPr="00D85525" w:rsidRDefault="007775C2" w:rsidP="00CD4ABA">
      <w:pPr>
        <w:pStyle w:val="Standard"/>
        <w:numPr>
          <w:ilvl w:val="2"/>
          <w:numId w:val="14"/>
        </w:numPr>
        <w:spacing w:after="120" w:line="274" w:lineRule="auto"/>
        <w:ind w:left="2127"/>
        <w:rPr>
          <w:rFonts w:asciiTheme="minorHAnsi" w:eastAsiaTheme="minorEastAsia" w:hAnsiTheme="minorHAnsi" w:cstheme="minorHAnsi"/>
          <w:i/>
          <w:iCs/>
        </w:rPr>
      </w:pPr>
      <w:bookmarkStart w:id="1" w:name="_GoBack"/>
      <w:r w:rsidRPr="00D85525">
        <w:rPr>
          <w:rFonts w:asciiTheme="minorHAnsi" w:hAnsiTheme="minorHAnsi" w:cstheme="minorHAnsi"/>
          <w:i/>
          <w:iCs/>
        </w:rPr>
        <w:t>którzy nie złożyli wniosków dotyczących danego warsztatu terapii zajęciowej lub umowy o zlecenie realizacji zadań przez PFRON;</w:t>
      </w:r>
    </w:p>
    <w:p w14:paraId="2B28F74B" w14:textId="05932A1D" w:rsidR="007775C2" w:rsidRPr="00D85525" w:rsidRDefault="007775C2" w:rsidP="00CD4ABA">
      <w:pPr>
        <w:pStyle w:val="Standard"/>
        <w:numPr>
          <w:ilvl w:val="2"/>
          <w:numId w:val="14"/>
        </w:numPr>
        <w:spacing w:after="120" w:line="274" w:lineRule="auto"/>
        <w:ind w:left="2127"/>
        <w:rPr>
          <w:rFonts w:asciiTheme="minorHAnsi" w:eastAsiaTheme="minorEastAsia" w:hAnsiTheme="minorHAnsi" w:cstheme="minorHAnsi"/>
          <w:i/>
          <w:iCs/>
        </w:rPr>
      </w:pPr>
      <w:r w:rsidRPr="00D85525">
        <w:rPr>
          <w:rFonts w:asciiTheme="minorHAnsi" w:hAnsiTheme="minorHAnsi" w:cstheme="minorHAnsi"/>
          <w:i/>
          <w:iCs/>
        </w:rPr>
        <w:t xml:space="preserve">którzy wycofali złożone wnioski; </w:t>
      </w:r>
    </w:p>
    <w:p w14:paraId="5DA3B47D" w14:textId="2F02E1B3" w:rsidR="007775C2" w:rsidRPr="00D85525" w:rsidRDefault="007775C2" w:rsidP="00CD4ABA">
      <w:pPr>
        <w:pStyle w:val="Standard"/>
        <w:numPr>
          <w:ilvl w:val="2"/>
          <w:numId w:val="14"/>
        </w:numPr>
        <w:spacing w:after="120" w:line="274" w:lineRule="auto"/>
        <w:ind w:left="2127"/>
        <w:rPr>
          <w:rFonts w:asciiTheme="minorHAnsi" w:eastAsiaTheme="minorEastAsia" w:hAnsiTheme="minorHAnsi" w:cstheme="minorHAnsi"/>
          <w:i/>
          <w:iCs/>
        </w:rPr>
      </w:pPr>
      <w:r w:rsidRPr="00D85525">
        <w:rPr>
          <w:rFonts w:asciiTheme="minorHAnsi" w:hAnsiTheme="minorHAnsi" w:cstheme="minorHAnsi"/>
          <w:i/>
          <w:iCs/>
        </w:rPr>
        <w:t>których wnioski zostały ocenione negatywnie.</w:t>
      </w:r>
    </w:p>
    <w:bookmarkEnd w:id="1"/>
    <w:p w14:paraId="6C4FFABF" w14:textId="5C66A264" w:rsidR="007775C2" w:rsidRPr="006A3E58" w:rsidRDefault="007775C2" w:rsidP="006A3E58">
      <w:pPr>
        <w:pStyle w:val="Standard"/>
        <w:spacing w:after="120" w:line="274" w:lineRule="auto"/>
        <w:ind w:left="1418"/>
        <w:rPr>
          <w:rFonts w:asciiTheme="minorHAnsi" w:eastAsiaTheme="minorEastAsia" w:hAnsiTheme="minorHAnsi" w:cstheme="minorHAnsi"/>
        </w:rPr>
      </w:pPr>
      <w:r w:rsidRPr="00D85525">
        <w:rPr>
          <w:rFonts w:asciiTheme="minorHAnsi" w:hAnsiTheme="minorHAnsi" w:cstheme="minorHAnsi"/>
          <w:i/>
          <w:iCs/>
        </w:rPr>
        <w:t>Nabór ten nie będzie trwał dłużej niż 7 dni kalendarzowych</w:t>
      </w:r>
      <w:r w:rsidR="00D85525">
        <w:rPr>
          <w:rFonts w:asciiTheme="minorHAnsi" w:hAnsiTheme="minorHAnsi" w:cstheme="minorHAnsi"/>
        </w:rPr>
        <w:t>;</w:t>
      </w:r>
    </w:p>
    <w:p w14:paraId="71F7FE78" w14:textId="4C932F30" w:rsidR="00BE3FDB" w:rsidRPr="006A3E58" w:rsidRDefault="00C72048" w:rsidP="006A3E58">
      <w:pPr>
        <w:pStyle w:val="NormalnyWeb"/>
        <w:numPr>
          <w:ilvl w:val="1"/>
          <w:numId w:val="3"/>
        </w:numPr>
        <w:spacing w:before="0" w:after="120" w:line="274" w:lineRule="auto"/>
        <w:ind w:left="1418" w:hanging="567"/>
        <w:rPr>
          <w:rFonts w:asciiTheme="minorHAnsi" w:eastAsiaTheme="minorEastAsia" w:hAnsiTheme="minorHAnsi" w:cstheme="minorHAnsi"/>
          <w:sz w:val="24"/>
          <w:szCs w:val="24"/>
        </w:rPr>
      </w:pPr>
      <w:r>
        <w:rPr>
          <w:rFonts w:asciiTheme="minorHAnsi" w:eastAsiaTheme="minorEastAsia" w:hAnsiTheme="minorHAnsi" w:cstheme="minorHAnsi"/>
          <w:sz w:val="24"/>
          <w:szCs w:val="24"/>
        </w:rPr>
        <w:t>w</w:t>
      </w:r>
      <w:r w:rsidR="007775C2" w:rsidRPr="006A3E58">
        <w:rPr>
          <w:rFonts w:asciiTheme="minorHAnsi" w:eastAsiaTheme="minorEastAsia" w:hAnsiTheme="minorHAnsi" w:cstheme="minorHAnsi"/>
          <w:sz w:val="24"/>
          <w:szCs w:val="24"/>
        </w:rPr>
        <w:t xml:space="preserve"> punkcie 4.2.1 oraz 4.2.2 – </w:t>
      </w:r>
      <w:proofErr w:type="spellStart"/>
      <w:r w:rsidR="007775C2" w:rsidRPr="006A3E58">
        <w:rPr>
          <w:rFonts w:asciiTheme="minorHAnsi" w:eastAsiaTheme="minorEastAsia" w:hAnsiTheme="minorHAnsi" w:cstheme="minorHAnsi"/>
          <w:sz w:val="24"/>
          <w:szCs w:val="24"/>
        </w:rPr>
        <w:t>uspójniono</w:t>
      </w:r>
      <w:proofErr w:type="spellEnd"/>
      <w:r w:rsidR="007775C2" w:rsidRPr="006A3E58">
        <w:rPr>
          <w:rFonts w:asciiTheme="minorHAnsi" w:eastAsiaTheme="minorEastAsia" w:hAnsiTheme="minorHAnsi" w:cstheme="minorHAnsi"/>
          <w:sz w:val="24"/>
          <w:szCs w:val="24"/>
        </w:rPr>
        <w:t xml:space="preserve"> nazewnictwo kryteriów, zgodnie z załącznikiem nr 2 do procedur, tj. wzorem karty oceny wniosku</w:t>
      </w:r>
      <w:r>
        <w:rPr>
          <w:rFonts w:asciiTheme="minorHAnsi" w:eastAsiaTheme="minorEastAsia" w:hAnsiTheme="minorHAnsi" w:cstheme="minorHAnsi"/>
          <w:sz w:val="24"/>
          <w:szCs w:val="24"/>
        </w:rPr>
        <w:t xml:space="preserve">. W punkcie 4.2.1 podmiotowe, w punkcie 4.2.2 – przedmiotowe. </w:t>
      </w:r>
      <w:r w:rsidR="007775C2" w:rsidRPr="006A3E58">
        <w:rPr>
          <w:rFonts w:asciiTheme="minorHAnsi" w:eastAsiaTheme="minorEastAsia" w:hAnsiTheme="minorHAnsi" w:cstheme="minorHAnsi"/>
          <w:sz w:val="24"/>
          <w:szCs w:val="24"/>
        </w:rPr>
        <w:t xml:space="preserve"> </w:t>
      </w:r>
    </w:p>
    <w:p w14:paraId="6A179014" w14:textId="524BBF93" w:rsidR="000A0ACA" w:rsidRPr="00C72048" w:rsidRDefault="00C72048" w:rsidP="00C72048">
      <w:pPr>
        <w:pStyle w:val="Standard"/>
        <w:numPr>
          <w:ilvl w:val="1"/>
          <w:numId w:val="3"/>
        </w:numPr>
        <w:spacing w:after="120" w:line="360" w:lineRule="auto"/>
        <w:ind w:hanging="589"/>
        <w:rPr>
          <w:rFonts w:ascii="Calibri" w:eastAsia="MS Mincho" w:hAnsi="Calibri" w:cs="Arial"/>
        </w:rPr>
      </w:pPr>
      <w:r>
        <w:rPr>
          <w:rFonts w:asciiTheme="minorHAnsi" w:eastAsiaTheme="minorEastAsia" w:hAnsiTheme="minorHAnsi" w:cstheme="minorHAnsi"/>
        </w:rPr>
        <w:t>w</w:t>
      </w:r>
      <w:r w:rsidR="000A0ACA" w:rsidRPr="006A3E58">
        <w:rPr>
          <w:rFonts w:asciiTheme="minorHAnsi" w:eastAsiaTheme="minorEastAsia" w:hAnsiTheme="minorHAnsi" w:cstheme="minorHAnsi"/>
        </w:rPr>
        <w:t xml:space="preserve"> punkcie 4.6 – usunięto zapis mówiący o możliwości jednokrotnego wezwania do poprawienia błędów. </w:t>
      </w:r>
      <w:r w:rsidRPr="00D85525">
        <w:rPr>
          <w:rFonts w:asciiTheme="minorHAnsi" w:eastAsiaTheme="minorEastAsia" w:hAnsiTheme="minorHAnsi" w:cstheme="minorHAnsi"/>
          <w:b/>
          <w:bCs/>
        </w:rPr>
        <w:t>Wcześniej</w:t>
      </w:r>
      <w:r>
        <w:rPr>
          <w:rFonts w:asciiTheme="minorHAnsi" w:eastAsiaTheme="minorEastAsia" w:hAnsiTheme="minorHAnsi" w:cstheme="minorHAnsi"/>
        </w:rPr>
        <w:t xml:space="preserve">: </w:t>
      </w:r>
      <w:r w:rsidRPr="00D85525">
        <w:rPr>
          <w:rFonts w:ascii="Calibri" w:hAnsi="Calibri" w:cs="Calibri"/>
          <w:i/>
          <w:iCs/>
        </w:rPr>
        <w:t>PFRON oceniając wniosek może wezwać do jednokrotnego poprawienia błędów (omyłek pisarskich i błędów rachunkowych) lub uzupełnienia braków we wniosku w terminie 5 dni roboczych od daty wysłania na adres poczty elektronicznej wskazany we wniosku</w:t>
      </w:r>
      <w:r w:rsidRPr="00C72048">
        <w:rPr>
          <w:rFonts w:ascii="Calibri" w:hAnsi="Calibri" w:cs="Calibri"/>
        </w:rPr>
        <w:t>.</w:t>
      </w:r>
      <w:r>
        <w:rPr>
          <w:rFonts w:ascii="Calibri" w:eastAsia="MS Mincho" w:hAnsi="Calibri" w:cs="Arial"/>
        </w:rPr>
        <w:t xml:space="preserve"> </w:t>
      </w:r>
      <w:r w:rsidR="000A0ACA" w:rsidRPr="00D85525">
        <w:rPr>
          <w:rFonts w:asciiTheme="minorHAnsi" w:eastAsiaTheme="minorEastAsia" w:hAnsiTheme="minorHAnsi" w:cstheme="minorHAnsi"/>
          <w:b/>
          <w:bCs/>
        </w:rPr>
        <w:t>Aktualn</w:t>
      </w:r>
      <w:r w:rsidRPr="00D85525">
        <w:rPr>
          <w:rFonts w:asciiTheme="minorHAnsi" w:eastAsiaTheme="minorEastAsia" w:hAnsiTheme="minorHAnsi" w:cstheme="minorHAnsi"/>
          <w:b/>
          <w:bCs/>
        </w:rPr>
        <w:t>ie</w:t>
      </w:r>
      <w:r w:rsidR="000A0ACA" w:rsidRPr="00C72048">
        <w:rPr>
          <w:rFonts w:asciiTheme="minorHAnsi" w:eastAsiaTheme="minorEastAsia" w:hAnsiTheme="minorHAnsi" w:cstheme="minorHAnsi"/>
        </w:rPr>
        <w:t xml:space="preserve">: </w:t>
      </w:r>
      <w:r w:rsidR="000A0ACA" w:rsidRPr="00D85525">
        <w:rPr>
          <w:rFonts w:asciiTheme="minorHAnsi" w:hAnsiTheme="minorHAnsi" w:cstheme="minorHAnsi"/>
          <w:i/>
          <w:iCs/>
        </w:rPr>
        <w:t>PFRON oceniając wniosek może wezwać do poprawienia błędów (omyłek pisarskich i błędów rachunkowych) lub uzupełnienia braków we wniosku w terminie 5 dni roboczych od daty wysłania wezwania na adres poczty elektronicznej wskazany we wniosku</w:t>
      </w:r>
      <w:r w:rsidR="00D85525">
        <w:rPr>
          <w:rFonts w:asciiTheme="minorHAnsi" w:hAnsiTheme="minorHAnsi" w:cstheme="minorHAnsi"/>
        </w:rPr>
        <w:t>;</w:t>
      </w:r>
    </w:p>
    <w:p w14:paraId="53225030" w14:textId="1C4580CC" w:rsidR="000A0ACA" w:rsidRPr="006A3E58" w:rsidRDefault="00C72048" w:rsidP="006A3E58">
      <w:pPr>
        <w:pStyle w:val="Standard"/>
        <w:numPr>
          <w:ilvl w:val="1"/>
          <w:numId w:val="3"/>
        </w:numPr>
        <w:spacing w:after="120" w:line="274" w:lineRule="auto"/>
        <w:ind w:left="1418" w:hanging="589"/>
        <w:rPr>
          <w:rFonts w:asciiTheme="minorHAnsi" w:eastAsiaTheme="minorEastAsia" w:hAnsiTheme="minorHAnsi" w:cstheme="minorHAnsi"/>
        </w:rPr>
      </w:pPr>
      <w:r>
        <w:rPr>
          <w:rFonts w:asciiTheme="minorHAnsi" w:eastAsiaTheme="minorEastAsia" w:hAnsiTheme="minorHAnsi" w:cstheme="minorHAnsi"/>
        </w:rPr>
        <w:t>w</w:t>
      </w:r>
      <w:r w:rsidR="000A0ACA" w:rsidRPr="006A3E58">
        <w:rPr>
          <w:rFonts w:asciiTheme="minorHAnsi" w:eastAsiaTheme="minorEastAsia" w:hAnsiTheme="minorHAnsi" w:cstheme="minorHAnsi"/>
        </w:rPr>
        <w:t>prowadzono zapis – punkt 5.10 –</w:t>
      </w:r>
      <w:r>
        <w:rPr>
          <w:rFonts w:asciiTheme="minorHAnsi" w:eastAsiaTheme="minorEastAsia" w:hAnsiTheme="minorHAnsi" w:cstheme="minorHAnsi"/>
        </w:rPr>
        <w:t xml:space="preserve"> </w:t>
      </w:r>
      <w:r w:rsidR="000A0ACA" w:rsidRPr="006A3E58">
        <w:rPr>
          <w:rFonts w:asciiTheme="minorHAnsi" w:hAnsiTheme="minorHAnsi" w:cstheme="minorHAnsi"/>
        </w:rPr>
        <w:t xml:space="preserve">W przypadku, gdy zawarcie umowy o powierzenie grantu nastąpi po zakończeniu okresu wsparcia wskazanego we </w:t>
      </w:r>
      <w:r w:rsidR="000A0ACA" w:rsidRPr="006A3E58">
        <w:rPr>
          <w:rFonts w:asciiTheme="minorHAnsi" w:hAnsiTheme="minorHAnsi" w:cstheme="minorHAnsi"/>
        </w:rPr>
        <w:lastRenderedPageBreak/>
        <w:t xml:space="preserve">wniosku, </w:t>
      </w:r>
      <w:proofErr w:type="spellStart"/>
      <w:r w:rsidR="000A0ACA" w:rsidRPr="006A3E58">
        <w:rPr>
          <w:rFonts w:asciiTheme="minorHAnsi" w:hAnsiTheme="minorHAnsi" w:cstheme="minorHAnsi"/>
        </w:rPr>
        <w:t>grantobiorca</w:t>
      </w:r>
      <w:proofErr w:type="spellEnd"/>
      <w:r w:rsidR="000A0ACA" w:rsidRPr="006A3E58">
        <w:rPr>
          <w:rFonts w:asciiTheme="minorHAnsi" w:hAnsiTheme="minorHAnsi" w:cstheme="minorHAnsi"/>
        </w:rPr>
        <w:t xml:space="preserve"> zobowiązany jest złożyć sprawozdanie, o którym mowa w ust. 5.8 w terminie 10 dni roboczych od dnia zawarcia umowy. </w:t>
      </w:r>
    </w:p>
    <w:p w14:paraId="2ADADA80" w14:textId="3FEB0670" w:rsidR="000A0ACA" w:rsidRPr="00C72048" w:rsidRDefault="00C72048" w:rsidP="006A3E58">
      <w:pPr>
        <w:pStyle w:val="NormalnyWeb"/>
        <w:numPr>
          <w:ilvl w:val="1"/>
          <w:numId w:val="3"/>
        </w:numPr>
        <w:spacing w:before="0" w:after="120" w:line="274" w:lineRule="auto"/>
        <w:ind w:left="1418" w:hanging="567"/>
        <w:rPr>
          <w:rFonts w:asciiTheme="minorHAnsi" w:eastAsiaTheme="minorEastAsia" w:hAnsiTheme="minorHAnsi" w:cstheme="minorHAnsi"/>
          <w:sz w:val="24"/>
          <w:szCs w:val="24"/>
        </w:rPr>
      </w:pPr>
      <w:r>
        <w:rPr>
          <w:rFonts w:asciiTheme="minorHAnsi" w:eastAsiaTheme="minorEastAsia" w:hAnsiTheme="minorHAnsi" w:cstheme="minorHAnsi"/>
          <w:sz w:val="24"/>
          <w:szCs w:val="24"/>
        </w:rPr>
        <w:t>w</w:t>
      </w:r>
      <w:r w:rsidR="000A0ACA" w:rsidRPr="006A3E58">
        <w:rPr>
          <w:rFonts w:asciiTheme="minorHAnsi" w:eastAsiaTheme="minorEastAsia" w:hAnsiTheme="minorHAnsi" w:cstheme="minorHAnsi"/>
          <w:sz w:val="24"/>
          <w:szCs w:val="24"/>
        </w:rPr>
        <w:t xml:space="preserve"> </w:t>
      </w:r>
      <w:r w:rsidR="000A0ACA" w:rsidRPr="00C72048">
        <w:rPr>
          <w:rFonts w:asciiTheme="minorHAnsi" w:eastAsiaTheme="minorEastAsia" w:hAnsiTheme="minorHAnsi" w:cstheme="minorHAnsi"/>
          <w:sz w:val="24"/>
          <w:szCs w:val="24"/>
        </w:rPr>
        <w:t>punkcie 5.11 – uaktualniono odwołanie do odpowiedniego ustępu;</w:t>
      </w:r>
    </w:p>
    <w:p w14:paraId="768A76CE" w14:textId="2B63EAF8" w:rsidR="000A0ACA" w:rsidRPr="00C72048" w:rsidRDefault="00C72048" w:rsidP="00C72048">
      <w:pPr>
        <w:pStyle w:val="NormalnyWeb"/>
        <w:numPr>
          <w:ilvl w:val="1"/>
          <w:numId w:val="3"/>
        </w:numPr>
        <w:spacing w:before="0" w:after="120" w:line="360" w:lineRule="auto"/>
        <w:ind w:left="1418" w:hanging="590"/>
        <w:rPr>
          <w:rFonts w:asciiTheme="minorHAnsi" w:eastAsiaTheme="minorEastAsia" w:hAnsiTheme="minorHAnsi" w:cstheme="minorBidi"/>
          <w:sz w:val="24"/>
          <w:szCs w:val="24"/>
        </w:rPr>
      </w:pPr>
      <w:r>
        <w:rPr>
          <w:rFonts w:asciiTheme="minorHAnsi" w:eastAsiaTheme="minorEastAsia" w:hAnsiTheme="minorHAnsi" w:cstheme="minorHAnsi"/>
          <w:sz w:val="24"/>
          <w:szCs w:val="24"/>
        </w:rPr>
        <w:t>w</w:t>
      </w:r>
      <w:r w:rsidR="007A63B4" w:rsidRPr="00C72048">
        <w:rPr>
          <w:rFonts w:asciiTheme="minorHAnsi" w:eastAsiaTheme="minorEastAsia" w:hAnsiTheme="minorHAnsi" w:cstheme="minorHAnsi"/>
          <w:sz w:val="24"/>
          <w:szCs w:val="24"/>
        </w:rPr>
        <w:t xml:space="preserve"> punkcie 6.3 - wprowadzono zapis realizator grantu.</w:t>
      </w:r>
      <w:r w:rsidRPr="00C72048">
        <w:rPr>
          <w:rFonts w:asciiTheme="minorHAnsi" w:eastAsiaTheme="minorEastAsia" w:hAnsiTheme="minorHAnsi" w:cstheme="minorHAnsi"/>
          <w:sz w:val="24"/>
          <w:szCs w:val="24"/>
        </w:rPr>
        <w:t xml:space="preserve"> </w:t>
      </w:r>
      <w:r w:rsidRPr="00D85525">
        <w:rPr>
          <w:rFonts w:asciiTheme="minorHAnsi" w:eastAsiaTheme="minorEastAsia" w:hAnsiTheme="minorHAnsi" w:cstheme="minorHAnsi"/>
          <w:b/>
          <w:bCs/>
          <w:sz w:val="24"/>
          <w:szCs w:val="24"/>
        </w:rPr>
        <w:t>Wcześniej</w:t>
      </w:r>
      <w:r w:rsidRPr="00C72048">
        <w:rPr>
          <w:rFonts w:asciiTheme="minorHAnsi" w:eastAsiaTheme="minorEastAsia" w:hAnsiTheme="minorHAnsi" w:cstheme="minorHAnsi"/>
          <w:sz w:val="24"/>
          <w:szCs w:val="24"/>
        </w:rPr>
        <w:t xml:space="preserve">: </w:t>
      </w:r>
      <w:proofErr w:type="spellStart"/>
      <w:r w:rsidRPr="00D85525">
        <w:rPr>
          <w:rFonts w:asciiTheme="minorHAnsi" w:hAnsiTheme="minorHAnsi" w:cstheme="minorBidi"/>
          <w:i/>
          <w:iCs/>
          <w:sz w:val="24"/>
          <w:szCs w:val="24"/>
        </w:rPr>
        <w:t>Grantobiorca</w:t>
      </w:r>
      <w:proofErr w:type="spellEnd"/>
      <w:r w:rsidRPr="00D85525">
        <w:rPr>
          <w:rFonts w:asciiTheme="minorHAnsi" w:hAnsiTheme="minorHAnsi" w:cstheme="minorBidi"/>
          <w:i/>
          <w:iCs/>
          <w:sz w:val="24"/>
          <w:szCs w:val="24"/>
        </w:rPr>
        <w:t xml:space="preserve"> zobowiązany jest do przechowywania dokumentów związanych z realizacją umowy o powierzenie grantu przez okres wskazany w umowie.</w:t>
      </w:r>
      <w:r w:rsidRPr="00C72048">
        <w:rPr>
          <w:rFonts w:asciiTheme="minorHAnsi" w:hAnsiTheme="minorHAnsi" w:cstheme="minorBidi"/>
          <w:sz w:val="24"/>
          <w:szCs w:val="24"/>
        </w:rPr>
        <w:t xml:space="preserve"> </w:t>
      </w:r>
      <w:r w:rsidRPr="00D85525">
        <w:rPr>
          <w:rFonts w:asciiTheme="minorHAnsi" w:hAnsiTheme="minorHAnsi" w:cstheme="minorBidi"/>
          <w:b/>
          <w:bCs/>
          <w:sz w:val="24"/>
          <w:szCs w:val="24"/>
        </w:rPr>
        <w:t xml:space="preserve">Aktualnie: </w:t>
      </w:r>
      <w:proofErr w:type="spellStart"/>
      <w:r w:rsidRPr="00D85525">
        <w:rPr>
          <w:rFonts w:asciiTheme="minorHAnsi" w:hAnsiTheme="minorHAnsi" w:cstheme="minorBidi"/>
          <w:i/>
          <w:iCs/>
          <w:sz w:val="24"/>
          <w:szCs w:val="24"/>
        </w:rPr>
        <w:t>Grantobiorca</w:t>
      </w:r>
      <w:proofErr w:type="spellEnd"/>
      <w:r w:rsidRPr="00D85525">
        <w:rPr>
          <w:rFonts w:asciiTheme="minorHAnsi" w:hAnsiTheme="minorHAnsi" w:cstheme="minorBidi"/>
          <w:i/>
          <w:iCs/>
          <w:sz w:val="24"/>
          <w:szCs w:val="24"/>
        </w:rPr>
        <w:t>/realizator grantu  zobowiązany jest do przechowywania dokumentów związanych z realizacją umowy o powierzenie grantu przez okres wskazany w umowie</w:t>
      </w:r>
      <w:r w:rsidRPr="00C72048">
        <w:rPr>
          <w:rFonts w:asciiTheme="minorHAnsi" w:hAnsiTheme="minorHAnsi" w:cstheme="minorBidi"/>
          <w:sz w:val="24"/>
          <w:szCs w:val="24"/>
        </w:rPr>
        <w:t>.</w:t>
      </w:r>
    </w:p>
    <w:p w14:paraId="6EEC9D42" w14:textId="4B5D6D61" w:rsidR="00BE3FDB" w:rsidRPr="006A3E58" w:rsidRDefault="006B0C1C" w:rsidP="00001567">
      <w:pPr>
        <w:pStyle w:val="Akapitzlist"/>
        <w:numPr>
          <w:ilvl w:val="0"/>
          <w:numId w:val="1"/>
        </w:numPr>
        <w:spacing w:after="120" w:line="274" w:lineRule="auto"/>
        <w:contextualSpacing w:val="0"/>
        <w:rPr>
          <w:rFonts w:cstheme="minorHAnsi"/>
          <w:sz w:val="24"/>
          <w:szCs w:val="24"/>
        </w:rPr>
      </w:pPr>
      <w:r w:rsidRPr="006A3E58">
        <w:rPr>
          <w:rFonts w:cstheme="minorHAnsi"/>
          <w:sz w:val="24"/>
          <w:szCs w:val="24"/>
        </w:rPr>
        <w:t>Załącznik nr 1 - Wzór wniosku o powierzenie grantu</w:t>
      </w:r>
    </w:p>
    <w:p w14:paraId="707A2F5E" w14:textId="05D823CD" w:rsidR="006B0C1C" w:rsidRPr="006A3E58" w:rsidRDefault="006B0C1C" w:rsidP="00001567">
      <w:pPr>
        <w:pStyle w:val="Akapitzlist"/>
        <w:numPr>
          <w:ilvl w:val="1"/>
          <w:numId w:val="1"/>
        </w:numPr>
        <w:spacing w:after="120" w:line="274" w:lineRule="auto"/>
        <w:ind w:left="1418" w:hanging="567"/>
        <w:contextualSpacing w:val="0"/>
        <w:rPr>
          <w:rFonts w:cstheme="minorHAnsi"/>
          <w:sz w:val="24"/>
          <w:szCs w:val="24"/>
        </w:rPr>
      </w:pPr>
      <w:r w:rsidRPr="006A3E58">
        <w:rPr>
          <w:rFonts w:cstheme="minorHAnsi"/>
          <w:sz w:val="24"/>
          <w:szCs w:val="24"/>
        </w:rPr>
        <w:t xml:space="preserve">Część IV Oświadczenia – </w:t>
      </w:r>
      <w:r w:rsidR="00001567">
        <w:rPr>
          <w:rFonts w:cstheme="minorHAnsi"/>
          <w:sz w:val="24"/>
          <w:szCs w:val="24"/>
        </w:rPr>
        <w:t xml:space="preserve">pkt 1 </w:t>
      </w:r>
      <w:r w:rsidRPr="006A3E58">
        <w:rPr>
          <w:rFonts w:cstheme="minorHAnsi"/>
          <w:sz w:val="24"/>
          <w:szCs w:val="24"/>
        </w:rPr>
        <w:t>usunięto zapis : Oświadczam, że reprezentowany przeze mnie podmiot nie jest podmiotem powiązanym w rozumieniu załącznika I do rozporządzenia Komisji (UE) nr 651/2014 z dnia 17 czerwca 2014 r. uznającego niektóre rodzaje pomocy za zgodne z rynkiem wewnętrznym w zastosowaniu art. 107 i 108 Traktatu (Dz. Urz. UE L 187 z 26.06.2014, str. 1).</w:t>
      </w:r>
    </w:p>
    <w:p w14:paraId="3D9DF985" w14:textId="147F5B7F" w:rsidR="006B0C1C" w:rsidRPr="006A3E58" w:rsidRDefault="00680ABB" w:rsidP="00001567">
      <w:pPr>
        <w:pStyle w:val="Akapitzlist"/>
        <w:numPr>
          <w:ilvl w:val="1"/>
          <w:numId w:val="1"/>
        </w:numPr>
        <w:spacing w:after="120" w:line="274" w:lineRule="auto"/>
        <w:ind w:left="1418" w:hanging="567"/>
        <w:contextualSpacing w:val="0"/>
        <w:rPr>
          <w:rFonts w:cstheme="minorHAnsi"/>
          <w:sz w:val="24"/>
          <w:szCs w:val="24"/>
        </w:rPr>
      </w:pPr>
      <w:r w:rsidRPr="006A3E58">
        <w:rPr>
          <w:rFonts w:cstheme="minorHAnsi"/>
          <w:sz w:val="24"/>
          <w:szCs w:val="24"/>
        </w:rPr>
        <w:t xml:space="preserve">Usunięto </w:t>
      </w:r>
      <w:proofErr w:type="spellStart"/>
      <w:r w:rsidRPr="006A3E58">
        <w:rPr>
          <w:rFonts w:cstheme="minorHAnsi"/>
          <w:sz w:val="24"/>
          <w:szCs w:val="24"/>
        </w:rPr>
        <w:t>checkboxy</w:t>
      </w:r>
      <w:proofErr w:type="spellEnd"/>
      <w:r w:rsidRPr="006A3E58">
        <w:rPr>
          <w:rFonts w:cstheme="minorHAnsi"/>
          <w:sz w:val="24"/>
          <w:szCs w:val="24"/>
        </w:rPr>
        <w:t xml:space="preserve"> – Tak/Nie przy pozostałych oświadczeniach</w:t>
      </w:r>
    </w:p>
    <w:p w14:paraId="74E5D3AD" w14:textId="69FAAAD4" w:rsidR="00680ABB" w:rsidRPr="006A3E58" w:rsidRDefault="00680ABB" w:rsidP="00001567">
      <w:pPr>
        <w:pStyle w:val="Akapitzlist"/>
        <w:numPr>
          <w:ilvl w:val="0"/>
          <w:numId w:val="1"/>
        </w:numPr>
        <w:spacing w:after="120" w:line="274" w:lineRule="auto"/>
        <w:contextualSpacing w:val="0"/>
        <w:rPr>
          <w:rFonts w:cstheme="minorHAnsi"/>
          <w:sz w:val="24"/>
          <w:szCs w:val="24"/>
        </w:rPr>
      </w:pPr>
      <w:r w:rsidRPr="006A3E58">
        <w:rPr>
          <w:rFonts w:cstheme="minorHAnsi"/>
          <w:sz w:val="24"/>
          <w:szCs w:val="24"/>
        </w:rPr>
        <w:t>Załącznik nr 3 Wzór umowy o powierzenie grantu</w:t>
      </w:r>
    </w:p>
    <w:p w14:paraId="1F9A41BC" w14:textId="0BB97320" w:rsidR="00680ABB" w:rsidRPr="006A3E58" w:rsidRDefault="00680ABB" w:rsidP="006A3E58">
      <w:pPr>
        <w:pStyle w:val="Akapitzlist"/>
        <w:numPr>
          <w:ilvl w:val="1"/>
          <w:numId w:val="1"/>
        </w:numPr>
        <w:spacing w:after="120" w:line="274" w:lineRule="auto"/>
        <w:rPr>
          <w:rFonts w:cstheme="minorHAnsi"/>
          <w:sz w:val="24"/>
          <w:szCs w:val="24"/>
        </w:rPr>
      </w:pPr>
      <w:r w:rsidRPr="006A3E58">
        <w:rPr>
          <w:rFonts w:cstheme="minorHAnsi"/>
          <w:sz w:val="24"/>
          <w:szCs w:val="24"/>
        </w:rPr>
        <w:t xml:space="preserve">W </w:t>
      </w:r>
      <w:r w:rsidRPr="006A3E58">
        <w:rPr>
          <w:rFonts w:eastAsiaTheme="minorEastAsia" w:cstheme="minorHAnsi"/>
          <w:sz w:val="24"/>
          <w:szCs w:val="24"/>
        </w:rPr>
        <w:t xml:space="preserve">§ 1 dodano ustęp 3 </w:t>
      </w:r>
      <w:r w:rsidRPr="006A3E58">
        <w:rPr>
          <w:rFonts w:cstheme="minorHAnsi"/>
          <w:sz w:val="24"/>
          <w:szCs w:val="24"/>
        </w:rPr>
        <w:t xml:space="preserve">Realizatorem grantu jest Warsztat Terapii Zajęciowej </w:t>
      </w:r>
      <w:r w:rsidRPr="006A3E58">
        <w:rPr>
          <w:rFonts w:cstheme="minorHAnsi"/>
          <w:i/>
          <w:iCs/>
          <w:sz w:val="24"/>
          <w:szCs w:val="24"/>
        </w:rPr>
        <w:t xml:space="preserve"> </w:t>
      </w:r>
      <w:r w:rsidRPr="006A3E58">
        <w:rPr>
          <w:rFonts w:cstheme="minorHAnsi"/>
          <w:sz w:val="24"/>
          <w:szCs w:val="24"/>
        </w:rPr>
        <w:t>z siedzibą w …………</w:t>
      </w:r>
      <w:r w:rsidRPr="006A3E58">
        <w:rPr>
          <w:rFonts w:cstheme="minorHAnsi"/>
          <w:i/>
          <w:iCs/>
          <w:sz w:val="24"/>
          <w:szCs w:val="24"/>
        </w:rPr>
        <w:t xml:space="preserve"> </w:t>
      </w:r>
      <w:r w:rsidRPr="006A3E58">
        <w:rPr>
          <w:rFonts w:cstheme="minorHAnsi"/>
          <w:sz w:val="24"/>
          <w:szCs w:val="24"/>
        </w:rPr>
        <w:t>(z przypisem, że Ustęp stosowany w przypadku, gdy WTZ ma odrębny NIP i prowadzi odrębną księgowość od podmiotu prowadzącego (</w:t>
      </w:r>
      <w:proofErr w:type="spellStart"/>
      <w:r w:rsidRPr="006A3E58">
        <w:rPr>
          <w:rFonts w:cstheme="minorHAnsi"/>
          <w:sz w:val="24"/>
          <w:szCs w:val="24"/>
        </w:rPr>
        <w:t>grantobiorcy</w:t>
      </w:r>
      <w:proofErr w:type="spellEnd"/>
      <w:r w:rsidRPr="006A3E58">
        <w:rPr>
          <w:rFonts w:cstheme="minorHAnsi"/>
          <w:sz w:val="24"/>
          <w:szCs w:val="24"/>
        </w:rPr>
        <w:t>)</w:t>
      </w:r>
    </w:p>
    <w:p w14:paraId="7CEC6581" w14:textId="7E3BB642" w:rsidR="00680ABB" w:rsidRPr="00001567" w:rsidRDefault="00680ABB" w:rsidP="00001567">
      <w:pPr>
        <w:pStyle w:val="Akapitzlist"/>
        <w:numPr>
          <w:ilvl w:val="1"/>
          <w:numId w:val="1"/>
        </w:numPr>
        <w:spacing w:after="120" w:line="274" w:lineRule="auto"/>
        <w:rPr>
          <w:rFonts w:cstheme="minorHAnsi"/>
          <w:sz w:val="24"/>
          <w:szCs w:val="24"/>
        </w:rPr>
      </w:pPr>
      <w:r w:rsidRPr="006A3E58">
        <w:rPr>
          <w:rFonts w:cstheme="minorHAnsi"/>
          <w:sz w:val="24"/>
          <w:szCs w:val="24"/>
        </w:rPr>
        <w:t xml:space="preserve">W </w:t>
      </w:r>
      <w:r w:rsidRPr="006A3E58">
        <w:rPr>
          <w:rFonts w:eastAsiaTheme="minorEastAsia" w:cstheme="minorHAnsi"/>
          <w:sz w:val="24"/>
          <w:szCs w:val="24"/>
        </w:rPr>
        <w:t xml:space="preserve">§ 1 ust. 4 – wprowadzono jako opcje do wyboru zapis </w:t>
      </w:r>
      <w:proofErr w:type="spellStart"/>
      <w:r w:rsidRPr="006A3E58">
        <w:rPr>
          <w:rFonts w:eastAsiaTheme="minorEastAsia" w:cstheme="minorHAnsi"/>
          <w:sz w:val="24"/>
          <w:szCs w:val="24"/>
        </w:rPr>
        <w:t>grantobiorca</w:t>
      </w:r>
      <w:proofErr w:type="spellEnd"/>
      <w:r w:rsidRPr="006A3E58">
        <w:rPr>
          <w:rFonts w:eastAsiaTheme="minorEastAsia" w:cstheme="minorHAnsi"/>
          <w:sz w:val="24"/>
          <w:szCs w:val="24"/>
        </w:rPr>
        <w:t xml:space="preserve"> oraz realizator grantu. </w:t>
      </w:r>
      <w:r w:rsidR="00001567" w:rsidRPr="00D85525">
        <w:rPr>
          <w:rFonts w:eastAsiaTheme="minorEastAsia" w:cstheme="minorHAnsi"/>
          <w:b/>
          <w:bCs/>
          <w:sz w:val="24"/>
          <w:szCs w:val="24"/>
        </w:rPr>
        <w:t>Wcześniej:</w:t>
      </w:r>
      <w:r w:rsidR="00001567">
        <w:rPr>
          <w:rFonts w:eastAsiaTheme="minorEastAsia" w:cstheme="minorHAnsi"/>
          <w:sz w:val="24"/>
          <w:szCs w:val="24"/>
        </w:rPr>
        <w:t xml:space="preserve"> </w:t>
      </w:r>
      <w:r w:rsidR="00001567" w:rsidRPr="00D85525">
        <w:rPr>
          <w:rFonts w:cstheme="minorHAnsi"/>
          <w:i/>
          <w:iCs/>
          <w:sz w:val="24"/>
          <w:szCs w:val="24"/>
        </w:rPr>
        <w:t xml:space="preserve">Zadania </w:t>
      </w:r>
      <w:proofErr w:type="spellStart"/>
      <w:r w:rsidR="00001567" w:rsidRPr="00D85525">
        <w:rPr>
          <w:rFonts w:cstheme="minorHAnsi"/>
          <w:i/>
          <w:iCs/>
          <w:sz w:val="24"/>
          <w:szCs w:val="24"/>
        </w:rPr>
        <w:t>grantobiorcy</w:t>
      </w:r>
      <w:proofErr w:type="spellEnd"/>
      <w:r w:rsidR="00001567" w:rsidRPr="00D85525">
        <w:rPr>
          <w:rFonts w:cstheme="minorHAnsi"/>
          <w:i/>
          <w:iCs/>
          <w:sz w:val="24"/>
          <w:szCs w:val="24"/>
        </w:rPr>
        <w:t xml:space="preserve"> objęte grantem realizowane będą zgodnie z wnioskiem o powierzenie grantu, </w:t>
      </w:r>
      <w:r w:rsidR="00001567" w:rsidRPr="00D85525">
        <w:rPr>
          <w:i/>
          <w:iCs/>
          <w:sz w:val="24"/>
          <w:szCs w:val="24"/>
        </w:rPr>
        <w:t>stanowiącym załącznik nr 1 do procedur, będącym również załącznikiem nr 1 do niniejszej umowy</w:t>
      </w:r>
      <w:r w:rsidR="00001567" w:rsidRPr="00D85525">
        <w:rPr>
          <w:rFonts w:cstheme="minorHAnsi"/>
          <w:i/>
          <w:iCs/>
          <w:sz w:val="24"/>
          <w:szCs w:val="24"/>
        </w:rPr>
        <w:t xml:space="preserve">. Obowiązki </w:t>
      </w:r>
      <w:proofErr w:type="spellStart"/>
      <w:r w:rsidR="00001567" w:rsidRPr="00D85525">
        <w:rPr>
          <w:rFonts w:cstheme="minorHAnsi"/>
          <w:i/>
          <w:iCs/>
          <w:sz w:val="24"/>
          <w:szCs w:val="24"/>
        </w:rPr>
        <w:t>grantobiorcy</w:t>
      </w:r>
      <w:proofErr w:type="spellEnd"/>
      <w:r w:rsidR="00001567" w:rsidRPr="00D85525">
        <w:rPr>
          <w:rFonts w:cstheme="minorHAnsi"/>
          <w:i/>
          <w:iCs/>
          <w:sz w:val="24"/>
          <w:szCs w:val="24"/>
        </w:rPr>
        <w:t xml:space="preserve"> opisane zostały w § 4 ust. 1 niniejszej umowy</w:t>
      </w:r>
      <w:r w:rsidR="00001567" w:rsidRPr="00001567">
        <w:rPr>
          <w:rFonts w:cstheme="minorHAnsi"/>
          <w:sz w:val="24"/>
          <w:szCs w:val="24"/>
        </w:rPr>
        <w:t>.</w:t>
      </w:r>
      <w:r w:rsidR="00001567">
        <w:rPr>
          <w:rFonts w:cstheme="minorHAnsi"/>
          <w:sz w:val="24"/>
          <w:szCs w:val="24"/>
        </w:rPr>
        <w:t xml:space="preserve"> </w:t>
      </w:r>
      <w:r w:rsidR="00001567" w:rsidRPr="00D85525">
        <w:rPr>
          <w:rFonts w:cstheme="minorHAnsi"/>
          <w:b/>
          <w:bCs/>
          <w:sz w:val="24"/>
          <w:szCs w:val="24"/>
        </w:rPr>
        <w:t>Aktualnie</w:t>
      </w:r>
      <w:r w:rsidR="00001567">
        <w:rPr>
          <w:rFonts w:cstheme="minorHAnsi"/>
          <w:sz w:val="24"/>
          <w:szCs w:val="24"/>
        </w:rPr>
        <w:t xml:space="preserve">: </w:t>
      </w:r>
      <w:r w:rsidRPr="00D85525">
        <w:rPr>
          <w:rFonts w:cstheme="minorHAnsi"/>
          <w:i/>
          <w:iCs/>
          <w:color w:val="000000" w:themeColor="text1"/>
          <w:sz w:val="24"/>
          <w:szCs w:val="24"/>
        </w:rPr>
        <w:t xml:space="preserve">Zadania </w:t>
      </w:r>
      <w:proofErr w:type="spellStart"/>
      <w:r w:rsidRPr="00D85525">
        <w:rPr>
          <w:rFonts w:cstheme="minorHAnsi"/>
          <w:i/>
          <w:iCs/>
          <w:color w:val="000000" w:themeColor="text1"/>
          <w:sz w:val="24"/>
          <w:szCs w:val="24"/>
        </w:rPr>
        <w:t>grantobiorcy</w:t>
      </w:r>
      <w:proofErr w:type="spellEnd"/>
      <w:r w:rsidRPr="00D85525">
        <w:rPr>
          <w:rFonts w:cstheme="minorHAnsi"/>
          <w:i/>
          <w:iCs/>
          <w:color w:val="000000" w:themeColor="text1"/>
          <w:sz w:val="24"/>
          <w:szCs w:val="24"/>
        </w:rPr>
        <w:t>/</w:t>
      </w:r>
      <w:proofErr w:type="spellStart"/>
      <w:r w:rsidRPr="00D85525">
        <w:rPr>
          <w:rFonts w:cstheme="minorHAnsi"/>
          <w:i/>
          <w:iCs/>
          <w:color w:val="000000" w:themeColor="text1"/>
          <w:sz w:val="24"/>
          <w:szCs w:val="24"/>
        </w:rPr>
        <w:t>grantobiorcy</w:t>
      </w:r>
      <w:proofErr w:type="spellEnd"/>
      <w:r w:rsidRPr="00D85525">
        <w:rPr>
          <w:rFonts w:cstheme="minorHAnsi"/>
          <w:i/>
          <w:iCs/>
          <w:color w:val="000000" w:themeColor="text1"/>
          <w:sz w:val="24"/>
          <w:szCs w:val="24"/>
        </w:rPr>
        <w:t xml:space="preserve"> oraz realizatora grantu* objęte grantem realizowane będą zgodnie z wnioskiem o powierzenie grantu, stanowiącym załącznik nr 1 do procedur, będącym również załącznikiem nr 1 do niniejszej umowy. Obowiązki </w:t>
      </w:r>
      <w:proofErr w:type="spellStart"/>
      <w:r w:rsidRPr="00D85525">
        <w:rPr>
          <w:rFonts w:cstheme="minorHAnsi"/>
          <w:i/>
          <w:iCs/>
          <w:color w:val="000000" w:themeColor="text1"/>
          <w:sz w:val="24"/>
          <w:szCs w:val="24"/>
        </w:rPr>
        <w:t>grantobiorcy</w:t>
      </w:r>
      <w:proofErr w:type="spellEnd"/>
      <w:r w:rsidRPr="00D85525">
        <w:rPr>
          <w:rFonts w:cstheme="minorHAnsi"/>
          <w:i/>
          <w:iCs/>
          <w:color w:val="000000" w:themeColor="text1"/>
          <w:sz w:val="24"/>
          <w:szCs w:val="24"/>
        </w:rPr>
        <w:t>/</w:t>
      </w:r>
      <w:proofErr w:type="spellStart"/>
      <w:r w:rsidRPr="00D85525">
        <w:rPr>
          <w:rFonts w:cstheme="minorHAnsi"/>
          <w:i/>
          <w:iCs/>
          <w:color w:val="000000" w:themeColor="text1"/>
          <w:sz w:val="24"/>
          <w:szCs w:val="24"/>
        </w:rPr>
        <w:t>grantobiorcy</w:t>
      </w:r>
      <w:proofErr w:type="spellEnd"/>
      <w:r w:rsidRPr="00D85525">
        <w:rPr>
          <w:rFonts w:cstheme="minorHAnsi"/>
          <w:i/>
          <w:iCs/>
          <w:color w:val="000000" w:themeColor="text1"/>
          <w:sz w:val="24"/>
          <w:szCs w:val="24"/>
        </w:rPr>
        <w:t xml:space="preserve"> oraz realizatora grantu*  opisane zostały w § 4 ust. 1 niniejszej umowy</w:t>
      </w:r>
      <w:r w:rsidR="00D85525">
        <w:rPr>
          <w:rFonts w:cstheme="minorHAnsi"/>
          <w:color w:val="000000" w:themeColor="text1"/>
          <w:sz w:val="24"/>
          <w:szCs w:val="24"/>
        </w:rPr>
        <w:t>;</w:t>
      </w:r>
    </w:p>
    <w:p w14:paraId="63EA6A75" w14:textId="4532C2D8" w:rsidR="00680ABB" w:rsidRPr="00001567" w:rsidRDefault="00680ABB" w:rsidP="00001567">
      <w:pPr>
        <w:pStyle w:val="Akapitzlist"/>
        <w:numPr>
          <w:ilvl w:val="1"/>
          <w:numId w:val="1"/>
        </w:numPr>
        <w:spacing w:after="120" w:line="274" w:lineRule="auto"/>
        <w:rPr>
          <w:rFonts w:cstheme="minorHAnsi"/>
          <w:i/>
          <w:iCs/>
          <w:sz w:val="24"/>
          <w:szCs w:val="24"/>
        </w:rPr>
      </w:pPr>
      <w:r w:rsidRPr="006A3E58">
        <w:rPr>
          <w:rFonts w:cstheme="minorHAnsi"/>
          <w:sz w:val="24"/>
          <w:szCs w:val="24"/>
        </w:rPr>
        <w:t xml:space="preserve">W </w:t>
      </w:r>
      <w:r w:rsidRPr="006A3E58">
        <w:rPr>
          <w:rFonts w:eastAsiaTheme="minorEastAsia" w:cstheme="minorHAnsi"/>
          <w:sz w:val="24"/>
          <w:szCs w:val="24"/>
        </w:rPr>
        <w:t xml:space="preserve">§ 2 ust. 3 - wprowadzono jako opcje do wyboru zapis </w:t>
      </w:r>
      <w:proofErr w:type="spellStart"/>
      <w:r w:rsidRPr="006A3E58">
        <w:rPr>
          <w:rFonts w:eastAsiaTheme="minorEastAsia" w:cstheme="minorHAnsi"/>
          <w:sz w:val="24"/>
          <w:szCs w:val="24"/>
        </w:rPr>
        <w:t>grantobiorca</w:t>
      </w:r>
      <w:proofErr w:type="spellEnd"/>
      <w:r w:rsidRPr="006A3E58">
        <w:rPr>
          <w:rFonts w:eastAsiaTheme="minorEastAsia" w:cstheme="minorHAnsi"/>
          <w:sz w:val="24"/>
          <w:szCs w:val="24"/>
        </w:rPr>
        <w:t xml:space="preserve"> oraz realizator grantu. </w:t>
      </w:r>
      <w:r w:rsidR="00001567" w:rsidRPr="00001567">
        <w:rPr>
          <w:rFonts w:eastAsiaTheme="minorEastAsia" w:cstheme="minorHAnsi"/>
          <w:b/>
          <w:bCs/>
          <w:sz w:val="24"/>
          <w:szCs w:val="24"/>
        </w:rPr>
        <w:t>Wcześniej:</w:t>
      </w:r>
      <w:r w:rsidR="00001567">
        <w:rPr>
          <w:rFonts w:eastAsiaTheme="minorEastAsia" w:cstheme="minorHAnsi"/>
          <w:sz w:val="24"/>
          <w:szCs w:val="24"/>
        </w:rPr>
        <w:t xml:space="preserve"> </w:t>
      </w:r>
      <w:r w:rsidR="00001567" w:rsidRPr="00001567">
        <w:rPr>
          <w:i/>
          <w:iCs/>
          <w:sz w:val="24"/>
          <w:szCs w:val="24"/>
        </w:rPr>
        <w:t xml:space="preserve">W przypadku, gdy w trakcie realizacji umowy o powierzenie grantu lub po jej zakończeniu, </w:t>
      </w:r>
      <w:proofErr w:type="spellStart"/>
      <w:r w:rsidR="00001567" w:rsidRPr="00001567">
        <w:rPr>
          <w:i/>
          <w:iCs/>
          <w:sz w:val="24"/>
          <w:szCs w:val="24"/>
        </w:rPr>
        <w:t>grantobiorca</w:t>
      </w:r>
      <w:proofErr w:type="spellEnd"/>
      <w:r w:rsidR="00001567" w:rsidRPr="00001567">
        <w:rPr>
          <w:i/>
          <w:iCs/>
          <w:sz w:val="24"/>
          <w:szCs w:val="24"/>
        </w:rPr>
        <w:t xml:space="preserve"> będzie mógł odliczyć lub uzyskać zwrot podatku od towarów  i usług (VAT) zakupionych ze środków grantu, jest on zobowiązany do poinformowania    o tym PFRON. </w:t>
      </w:r>
      <w:proofErr w:type="spellStart"/>
      <w:r w:rsidR="00001567" w:rsidRPr="00001567">
        <w:rPr>
          <w:i/>
          <w:iCs/>
          <w:sz w:val="24"/>
          <w:szCs w:val="24"/>
        </w:rPr>
        <w:t>Grantobiorca</w:t>
      </w:r>
      <w:proofErr w:type="spellEnd"/>
      <w:r w:rsidR="00001567" w:rsidRPr="00001567">
        <w:rPr>
          <w:i/>
          <w:iCs/>
          <w:sz w:val="24"/>
          <w:szCs w:val="24"/>
        </w:rPr>
        <w:t xml:space="preserve"> </w:t>
      </w:r>
      <w:r w:rsidR="00001567" w:rsidRPr="00001567">
        <w:rPr>
          <w:i/>
          <w:iCs/>
          <w:sz w:val="24"/>
          <w:szCs w:val="24"/>
        </w:rPr>
        <w:lastRenderedPageBreak/>
        <w:t xml:space="preserve">będzie zobowiązany do zwrotu podatku od towaru i usług (VAT), który wcześniej został rozliczony, od chwili w której uzyskał możliwość odliczenia od podatku VAT. Zwrot podatku od towarów i usług (VAT) następuje zgodnie z art. 207 ust. 1 pkt 2 ustawy o finansach publicznych z dnia 27 sierpnia 2009 roku (Dz. U. z 2019 r. poz. 869 z </w:t>
      </w:r>
      <w:proofErr w:type="spellStart"/>
      <w:r w:rsidR="00001567" w:rsidRPr="00001567">
        <w:rPr>
          <w:i/>
          <w:iCs/>
          <w:sz w:val="24"/>
          <w:szCs w:val="24"/>
        </w:rPr>
        <w:t>późn</w:t>
      </w:r>
      <w:proofErr w:type="spellEnd"/>
      <w:r w:rsidR="00001567" w:rsidRPr="00001567">
        <w:rPr>
          <w:i/>
          <w:iCs/>
          <w:sz w:val="24"/>
          <w:szCs w:val="24"/>
        </w:rPr>
        <w:t xml:space="preserve">. zm.) wraz   z odsetkami w wysokości określonej jak dla zaległości podatkowych </w:t>
      </w:r>
      <w:r w:rsidR="00001567" w:rsidRPr="000649A4">
        <w:rPr>
          <w:i/>
          <w:iCs/>
          <w:sz w:val="24"/>
          <w:szCs w:val="24"/>
        </w:rPr>
        <w:t>liczonymi od dnia przekazania środków</w:t>
      </w:r>
      <w:r w:rsidR="00001567" w:rsidRPr="000649A4">
        <w:rPr>
          <w:sz w:val="24"/>
          <w:szCs w:val="24"/>
        </w:rPr>
        <w:t xml:space="preserve">. </w:t>
      </w:r>
      <w:r w:rsidRPr="000649A4">
        <w:rPr>
          <w:rFonts w:eastAsiaTheme="minorEastAsia" w:cstheme="minorHAnsi"/>
          <w:b/>
          <w:bCs/>
          <w:sz w:val="24"/>
          <w:szCs w:val="24"/>
        </w:rPr>
        <w:t>Aktualn</w:t>
      </w:r>
      <w:r w:rsidR="00001567" w:rsidRPr="000649A4">
        <w:rPr>
          <w:rFonts w:eastAsiaTheme="minorEastAsia" w:cstheme="minorHAnsi"/>
          <w:b/>
          <w:bCs/>
          <w:sz w:val="24"/>
          <w:szCs w:val="24"/>
        </w:rPr>
        <w:t>ie</w:t>
      </w:r>
      <w:r w:rsidRPr="000649A4">
        <w:rPr>
          <w:rFonts w:eastAsiaTheme="minorEastAsia" w:cstheme="minorHAnsi"/>
          <w:sz w:val="24"/>
          <w:szCs w:val="24"/>
        </w:rPr>
        <w:t xml:space="preserve">: </w:t>
      </w:r>
      <w:r w:rsidRPr="000649A4">
        <w:rPr>
          <w:rFonts w:cstheme="minorHAnsi"/>
          <w:i/>
          <w:iCs/>
          <w:sz w:val="24"/>
          <w:szCs w:val="24"/>
        </w:rPr>
        <w:t xml:space="preserve">W przypadku, gdy w trakcie realizacji umowy o powierzenie grantu lub po jej zakończeniu, </w:t>
      </w:r>
      <w:proofErr w:type="spellStart"/>
      <w:r w:rsidRPr="000649A4">
        <w:rPr>
          <w:rFonts w:cstheme="minorHAnsi"/>
          <w:i/>
          <w:iCs/>
          <w:sz w:val="24"/>
          <w:szCs w:val="24"/>
        </w:rPr>
        <w:t>grantobiorca</w:t>
      </w:r>
      <w:bookmarkStart w:id="2" w:name="_Hlk50370294"/>
      <w:proofErr w:type="spellEnd"/>
      <w:r w:rsidRPr="000649A4">
        <w:rPr>
          <w:rFonts w:cstheme="minorHAnsi"/>
          <w:i/>
          <w:iCs/>
          <w:sz w:val="24"/>
          <w:szCs w:val="24"/>
        </w:rPr>
        <w:t xml:space="preserve">/ realizator grantu* </w:t>
      </w:r>
      <w:bookmarkEnd w:id="2"/>
      <w:r w:rsidRPr="000649A4">
        <w:rPr>
          <w:rFonts w:cstheme="minorHAnsi"/>
          <w:i/>
          <w:iCs/>
          <w:sz w:val="24"/>
          <w:szCs w:val="24"/>
        </w:rPr>
        <w:t xml:space="preserve">będzie mógł odliczyć lub uzyskać zwrot podatku od towarów  i usług (VAT) zakupionych ze środków grantu, jest on zobowiązany do poinformowania    o tym PFRON. </w:t>
      </w:r>
      <w:proofErr w:type="spellStart"/>
      <w:r w:rsidRPr="000649A4">
        <w:rPr>
          <w:rFonts w:cstheme="minorHAnsi"/>
          <w:i/>
          <w:iCs/>
          <w:sz w:val="24"/>
          <w:szCs w:val="24"/>
        </w:rPr>
        <w:t>Grantobiorca</w:t>
      </w:r>
      <w:proofErr w:type="spellEnd"/>
      <w:r w:rsidR="00A908C1" w:rsidRPr="000649A4">
        <w:rPr>
          <w:rFonts w:cstheme="minorHAnsi"/>
          <w:i/>
          <w:iCs/>
          <w:sz w:val="24"/>
          <w:szCs w:val="24"/>
        </w:rPr>
        <w:t>/</w:t>
      </w:r>
      <w:proofErr w:type="spellStart"/>
      <w:r w:rsidR="00A908C1" w:rsidRPr="000649A4">
        <w:rPr>
          <w:rFonts w:cstheme="minorHAnsi"/>
          <w:i/>
          <w:iCs/>
          <w:sz w:val="24"/>
          <w:szCs w:val="24"/>
        </w:rPr>
        <w:t>grantobiorca</w:t>
      </w:r>
      <w:proofErr w:type="spellEnd"/>
      <w:r w:rsidR="00A908C1" w:rsidRPr="000649A4">
        <w:rPr>
          <w:rFonts w:cstheme="minorHAnsi"/>
          <w:i/>
          <w:iCs/>
          <w:sz w:val="24"/>
          <w:szCs w:val="24"/>
        </w:rPr>
        <w:t xml:space="preserve"> w imieniu realizatora grantu* </w:t>
      </w:r>
      <w:r w:rsidRPr="000649A4">
        <w:rPr>
          <w:rFonts w:cstheme="minorHAnsi"/>
          <w:i/>
          <w:iCs/>
          <w:sz w:val="24"/>
          <w:szCs w:val="24"/>
        </w:rPr>
        <w:t xml:space="preserve"> będzie zobowiązany do zwrotu podatku od towaru i usług (VAT), który wcześniej został</w:t>
      </w:r>
      <w:r w:rsidRPr="00001567">
        <w:rPr>
          <w:rFonts w:cstheme="minorHAnsi"/>
          <w:i/>
          <w:iCs/>
          <w:sz w:val="24"/>
          <w:szCs w:val="24"/>
        </w:rPr>
        <w:t xml:space="preserve"> rozliczony, od chwili w której uzyskał możliwość odliczenia od podatku VAT. Zwrot podatku od towarów i usług (VAT) następuje zgodnie z art. 207 ust. 1 pkt 2 ustawy o finansach publicznych z dnia 27 sierpnia 2009 roku (Dz. U. z 2019 r. poz. 869 z </w:t>
      </w:r>
      <w:proofErr w:type="spellStart"/>
      <w:r w:rsidRPr="00001567">
        <w:rPr>
          <w:rFonts w:cstheme="minorHAnsi"/>
          <w:i/>
          <w:iCs/>
          <w:sz w:val="24"/>
          <w:szCs w:val="24"/>
        </w:rPr>
        <w:t>późn</w:t>
      </w:r>
      <w:proofErr w:type="spellEnd"/>
      <w:r w:rsidRPr="00001567">
        <w:rPr>
          <w:rFonts w:cstheme="minorHAnsi"/>
          <w:i/>
          <w:iCs/>
          <w:sz w:val="24"/>
          <w:szCs w:val="24"/>
        </w:rPr>
        <w:t>. zm.) wraz   z odsetkami w wysokości określonej jak dla zaległości podatkowych liczonymi od dnia przekazania środków.</w:t>
      </w:r>
    </w:p>
    <w:p w14:paraId="7F31E0E0" w14:textId="3BC6BE04" w:rsidR="00680ABB" w:rsidRPr="006A3E58" w:rsidRDefault="00680ABB" w:rsidP="006A3E58">
      <w:pPr>
        <w:pStyle w:val="Akapitzlist"/>
        <w:numPr>
          <w:ilvl w:val="1"/>
          <w:numId w:val="1"/>
        </w:numPr>
        <w:spacing w:after="120" w:line="274" w:lineRule="auto"/>
        <w:rPr>
          <w:rFonts w:cstheme="minorHAnsi"/>
          <w:sz w:val="24"/>
          <w:szCs w:val="24"/>
        </w:rPr>
      </w:pPr>
      <w:r w:rsidRPr="006A3E58">
        <w:rPr>
          <w:rFonts w:cstheme="minorHAnsi"/>
          <w:sz w:val="24"/>
          <w:szCs w:val="24"/>
        </w:rPr>
        <w:t xml:space="preserve">W </w:t>
      </w:r>
      <w:r w:rsidRPr="006A3E58">
        <w:rPr>
          <w:rFonts w:eastAsiaTheme="minorEastAsia" w:cstheme="minorHAnsi"/>
          <w:sz w:val="24"/>
          <w:szCs w:val="24"/>
        </w:rPr>
        <w:t xml:space="preserve">§ 4 ust. 1 – wprowadzono jako opcję do wyboru </w:t>
      </w:r>
      <w:proofErr w:type="spellStart"/>
      <w:r w:rsidRPr="006A3E58">
        <w:rPr>
          <w:rFonts w:cstheme="minorHAnsi"/>
          <w:sz w:val="24"/>
          <w:szCs w:val="24"/>
        </w:rPr>
        <w:t>Grantobiorca</w:t>
      </w:r>
      <w:proofErr w:type="spellEnd"/>
      <w:r w:rsidRPr="006A3E58">
        <w:rPr>
          <w:rFonts w:cstheme="minorHAnsi"/>
          <w:sz w:val="24"/>
          <w:szCs w:val="24"/>
        </w:rPr>
        <w:t xml:space="preserve"> oraz realizator grantu* zobowiązuje się do</w:t>
      </w:r>
      <w:r w:rsidR="006A3E58" w:rsidRPr="006A3E58">
        <w:rPr>
          <w:rFonts w:cstheme="minorHAnsi"/>
          <w:sz w:val="24"/>
          <w:szCs w:val="24"/>
        </w:rPr>
        <w:t>…..</w:t>
      </w:r>
    </w:p>
    <w:p w14:paraId="5033208E" w14:textId="1CD9C748" w:rsidR="006A3E58" w:rsidRPr="00D85525" w:rsidRDefault="006A3E58" w:rsidP="00D85525">
      <w:pPr>
        <w:pStyle w:val="Akapitzlist"/>
        <w:numPr>
          <w:ilvl w:val="1"/>
          <w:numId w:val="1"/>
        </w:numPr>
        <w:spacing w:after="120" w:line="274" w:lineRule="auto"/>
        <w:rPr>
          <w:rFonts w:cstheme="minorHAnsi"/>
          <w:i/>
          <w:iCs/>
          <w:sz w:val="24"/>
          <w:szCs w:val="24"/>
        </w:rPr>
      </w:pPr>
      <w:r w:rsidRPr="006A3E58">
        <w:rPr>
          <w:rFonts w:cstheme="minorHAnsi"/>
          <w:sz w:val="24"/>
          <w:szCs w:val="24"/>
        </w:rPr>
        <w:t xml:space="preserve">W </w:t>
      </w:r>
      <w:r w:rsidRPr="006A3E58">
        <w:rPr>
          <w:rFonts w:eastAsiaTheme="minorEastAsia" w:cstheme="minorHAnsi"/>
          <w:sz w:val="24"/>
          <w:szCs w:val="24"/>
        </w:rPr>
        <w:t xml:space="preserve">§ 7 ust. 1 – wprowadzono jako opcję do wyboru termin na złożenie sprawozdania liczony od  daty zakończenia okresu wsparcia albo od daty zawarcia umowy. </w:t>
      </w:r>
      <w:r w:rsidR="00001567" w:rsidRPr="00D85525">
        <w:rPr>
          <w:rFonts w:eastAsiaTheme="minorEastAsia" w:cstheme="minorHAnsi"/>
          <w:b/>
          <w:bCs/>
          <w:sz w:val="24"/>
          <w:szCs w:val="24"/>
        </w:rPr>
        <w:t>Wcześniej</w:t>
      </w:r>
      <w:r w:rsidR="00001567">
        <w:rPr>
          <w:rFonts w:eastAsiaTheme="minorEastAsia" w:cstheme="minorHAnsi"/>
          <w:sz w:val="24"/>
          <w:szCs w:val="24"/>
        </w:rPr>
        <w:t xml:space="preserve">: </w:t>
      </w:r>
      <w:proofErr w:type="spellStart"/>
      <w:r w:rsidR="00D85525" w:rsidRPr="00D85525">
        <w:rPr>
          <w:i/>
          <w:iCs/>
          <w:sz w:val="24"/>
          <w:szCs w:val="24"/>
        </w:rPr>
        <w:t>Grantobiorca</w:t>
      </w:r>
      <w:proofErr w:type="spellEnd"/>
      <w:r w:rsidR="00D85525" w:rsidRPr="00D85525">
        <w:rPr>
          <w:i/>
          <w:iCs/>
          <w:sz w:val="24"/>
          <w:szCs w:val="24"/>
        </w:rPr>
        <w:t xml:space="preserve"> zobowiązany jest do złożenia do PFRON sprawozdania z realizacji umowy o powierzenie grantu, według wzoru stanowiącego załącznik nr 5 do procedur w terminie 10 dni roboczych od dnia zakończenia okresu wsparcia, tj. do dnia …………… . Sprawozdanie należy załączyć również w wersji edytowalnej na nośniku elektronicznym (np. płycie CD, DVD lub za pośrednictwem poczty, o której mowa w § 4 ust. 2 umowy).</w:t>
      </w:r>
      <w:r w:rsidR="00D85525">
        <w:rPr>
          <w:sz w:val="24"/>
          <w:szCs w:val="24"/>
        </w:rPr>
        <w:t xml:space="preserve"> </w:t>
      </w:r>
      <w:r w:rsidR="00D85525" w:rsidRPr="00D85525">
        <w:rPr>
          <w:rFonts w:eastAsiaTheme="minorEastAsia" w:cstheme="minorHAnsi"/>
          <w:b/>
          <w:bCs/>
          <w:sz w:val="24"/>
          <w:szCs w:val="24"/>
        </w:rPr>
        <w:t>Aktualnie</w:t>
      </w:r>
      <w:r w:rsidRPr="00D85525">
        <w:rPr>
          <w:rFonts w:eastAsiaTheme="minorEastAsia" w:cstheme="minorHAnsi"/>
          <w:sz w:val="24"/>
          <w:szCs w:val="24"/>
        </w:rPr>
        <w:t xml:space="preserve">: </w:t>
      </w:r>
      <w:proofErr w:type="spellStart"/>
      <w:r w:rsidRPr="00D85525">
        <w:rPr>
          <w:rFonts w:cstheme="minorHAnsi"/>
          <w:i/>
          <w:iCs/>
          <w:sz w:val="24"/>
          <w:szCs w:val="24"/>
        </w:rPr>
        <w:t>Grantobiorca</w:t>
      </w:r>
      <w:proofErr w:type="spellEnd"/>
      <w:r w:rsidRPr="00D85525">
        <w:rPr>
          <w:rFonts w:cstheme="minorHAnsi"/>
          <w:i/>
          <w:iCs/>
          <w:sz w:val="24"/>
          <w:szCs w:val="24"/>
        </w:rPr>
        <w:t xml:space="preserve"> zobowiązany jest do złożenia do PFRON sprawozdania z realizacji umowy o powierzenie grantu, według wzoru stanowiącego załącznik nr 5 do procedur w terminie 10 dni roboczych od dnia zakończenia okresu wsparcia/od dnia zawarcia umowy*, tj. do dnia …………… . Sprawozdanie należy załączyć również w wersji edytowalnej na nośniku elektronicznym (np. płycie CD, DVD lub za pośrednictwem poczty, o której mowa w § 4 ust. 2 umowy).</w:t>
      </w:r>
    </w:p>
    <w:p w14:paraId="46A3035C" w14:textId="77777777" w:rsidR="00680ABB" w:rsidRPr="006A3E58" w:rsidRDefault="00680ABB" w:rsidP="006A3E58">
      <w:pPr>
        <w:pStyle w:val="Akapitzlist"/>
        <w:spacing w:after="120" w:line="274" w:lineRule="auto"/>
        <w:ind w:left="1142"/>
        <w:rPr>
          <w:rFonts w:cstheme="minorHAnsi"/>
          <w:sz w:val="24"/>
          <w:szCs w:val="24"/>
        </w:rPr>
      </w:pPr>
    </w:p>
    <w:p w14:paraId="7E2E2564" w14:textId="23278674" w:rsidR="006B0C1C" w:rsidRPr="006A3E58" w:rsidRDefault="006A3E58" w:rsidP="006A3E58">
      <w:pPr>
        <w:pStyle w:val="Akapitzlist"/>
        <w:numPr>
          <w:ilvl w:val="0"/>
          <w:numId w:val="1"/>
        </w:numPr>
        <w:spacing w:after="120" w:line="274" w:lineRule="auto"/>
        <w:rPr>
          <w:rFonts w:cstheme="minorHAnsi"/>
          <w:sz w:val="24"/>
          <w:szCs w:val="24"/>
        </w:rPr>
      </w:pPr>
      <w:r w:rsidRPr="006A3E58">
        <w:rPr>
          <w:rFonts w:cstheme="minorHAnsi"/>
          <w:sz w:val="24"/>
          <w:szCs w:val="24"/>
        </w:rPr>
        <w:t xml:space="preserve">Załącznik nr 2 do umowy o powierzenie grantu – oświadczenie o kwalifikowalności VAT wprowadzono zapisy, dotyczące realizatora grantu. </w:t>
      </w:r>
    </w:p>
    <w:p w14:paraId="611C5956" w14:textId="77777777" w:rsidR="006B0C1C" w:rsidRPr="006B0C1C" w:rsidRDefault="006B0C1C" w:rsidP="006A3E58">
      <w:pPr>
        <w:pStyle w:val="Akapitzlist"/>
        <w:ind w:left="360"/>
        <w:rPr>
          <w:sz w:val="24"/>
          <w:szCs w:val="24"/>
        </w:rPr>
      </w:pPr>
    </w:p>
    <w:sectPr w:rsidR="006B0C1C" w:rsidRPr="006B0C1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68D2B" w14:textId="77777777" w:rsidR="00C65267" w:rsidRDefault="00C65267" w:rsidP="000A0ACA">
      <w:pPr>
        <w:spacing w:after="0" w:line="240" w:lineRule="auto"/>
      </w:pPr>
      <w:r>
        <w:separator/>
      </w:r>
    </w:p>
  </w:endnote>
  <w:endnote w:type="continuationSeparator" w:id="0">
    <w:p w14:paraId="057B2CEE" w14:textId="77777777" w:rsidR="00C65267" w:rsidRDefault="00C65267" w:rsidP="000A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2AB1F" w14:textId="7B140EC9" w:rsidR="000B7F66" w:rsidRDefault="000B7F66">
    <w:pPr>
      <w:pStyle w:val="Stopka"/>
    </w:pPr>
    <w:bookmarkStart w:id="3" w:name="_Hlk45709302"/>
    <w:r>
      <w:rPr>
        <w:noProof/>
      </w:rPr>
      <w:drawing>
        <wp:anchor distT="0" distB="0" distL="114300" distR="114300" simplePos="0" relativeHeight="251661312" behindDoc="1" locked="0" layoutInCell="1" allowOverlap="1" wp14:anchorId="4B883C31" wp14:editId="70A3A6E8">
          <wp:simplePos x="0" y="0"/>
          <wp:positionH relativeFrom="margin">
            <wp:posOffset>22860</wp:posOffset>
          </wp:positionH>
          <wp:positionV relativeFrom="paragraph">
            <wp:posOffset>-99695</wp:posOffset>
          </wp:positionV>
          <wp:extent cx="1706400" cy="903600"/>
          <wp:effectExtent l="0" t="0" r="8255" b="0"/>
          <wp:wrapNone/>
          <wp:docPr id="20" name="Obraz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14:sizeRelH relativeFrom="margin">
            <wp14:pctWidth>0</wp14:pctWidth>
          </wp14:sizeRelH>
          <wp14:sizeRelV relativeFrom="margin">
            <wp14:pctHeight>0</wp14:pctHeight>
          </wp14:sizeRelV>
        </wp:anchor>
      </w:drawing>
    </w:r>
    <w:bookmarkEnd w:id="3"/>
  </w:p>
  <w:p w14:paraId="03108C9F" w14:textId="77777777" w:rsidR="000B7F66" w:rsidRDefault="000B7F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B6D9D" w14:textId="77777777" w:rsidR="00C65267" w:rsidRDefault="00C65267" w:rsidP="000A0ACA">
      <w:pPr>
        <w:spacing w:after="0" w:line="240" w:lineRule="auto"/>
      </w:pPr>
      <w:r>
        <w:separator/>
      </w:r>
    </w:p>
  </w:footnote>
  <w:footnote w:type="continuationSeparator" w:id="0">
    <w:p w14:paraId="01BC5BE1" w14:textId="77777777" w:rsidR="00C65267" w:rsidRDefault="00C65267" w:rsidP="000A0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9CCF7" w14:textId="5FBF8242" w:rsidR="00C057DE" w:rsidRDefault="00C057DE">
    <w:pPr>
      <w:pStyle w:val="Nagwek"/>
    </w:pPr>
    <w:r>
      <w:rPr>
        <w:noProof/>
      </w:rPr>
      <w:drawing>
        <wp:anchor distT="0" distB="0" distL="114300" distR="114300" simplePos="0" relativeHeight="251659264" behindDoc="1" locked="0" layoutInCell="1" allowOverlap="1" wp14:anchorId="50F51616" wp14:editId="1708787E">
          <wp:simplePos x="0" y="0"/>
          <wp:positionH relativeFrom="margin">
            <wp:align>center</wp:align>
          </wp:positionH>
          <wp:positionV relativeFrom="paragraph">
            <wp:posOffset>-206375</wp:posOffset>
          </wp:positionV>
          <wp:extent cx="5315585" cy="676910"/>
          <wp:effectExtent l="0" t="0" r="0" b="8890"/>
          <wp:wrapNone/>
          <wp:docPr id="21" name="Obraz 21" descr="logo Funduszu z napisem Fundusze Europejskie- Wiedza Edukacja Rozwój, logo Polski z napisem Rzeczpospolita Polska, Flaga UE - napis Unia Europejska, Europejski Fundusz Społeczny&#10;" title="logotypy funduszy europejskich"/>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14:sizeRelH relativeFrom="page">
            <wp14:pctWidth>0</wp14:pctWidth>
          </wp14:sizeRelH>
          <wp14:sizeRelV relativeFrom="page">
            <wp14:pctHeight>0</wp14:pctHeight>
          </wp14:sizeRelV>
        </wp:anchor>
      </w:drawing>
    </w:r>
  </w:p>
  <w:p w14:paraId="544B1792" w14:textId="77777777" w:rsidR="00C057DE" w:rsidRDefault="00C057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71E"/>
    <w:multiLevelType w:val="multilevel"/>
    <w:tmpl w:val="22486616"/>
    <w:lvl w:ilvl="0">
      <w:start w:val="3"/>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03B2764C"/>
    <w:multiLevelType w:val="hybridMultilevel"/>
    <w:tmpl w:val="C25A7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795DBB"/>
    <w:multiLevelType w:val="hybridMultilevel"/>
    <w:tmpl w:val="70562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647260"/>
    <w:multiLevelType w:val="hybridMultilevel"/>
    <w:tmpl w:val="21983184"/>
    <w:lvl w:ilvl="0" w:tplc="E4900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FF5B9F"/>
    <w:multiLevelType w:val="hybridMultilevel"/>
    <w:tmpl w:val="67E2A3C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C33886"/>
    <w:multiLevelType w:val="hybridMultilevel"/>
    <w:tmpl w:val="0E14768E"/>
    <w:lvl w:ilvl="0" w:tplc="FA2E5A8C">
      <w:start w:val="1"/>
      <w:numFmt w:val="decimal"/>
      <w:lvlText w:val="%1."/>
      <w:lvlJc w:val="left"/>
      <w:pPr>
        <w:ind w:left="720" w:hanging="360"/>
      </w:pPr>
      <w:rPr>
        <w:rFonts w:hint="default"/>
      </w:rPr>
    </w:lvl>
    <w:lvl w:ilvl="1" w:tplc="E2D6D3CE">
      <w:start w:val="1"/>
      <w:numFmt w:val="decimal"/>
      <w:lvlText w:val="%2)"/>
      <w:lvlJc w:val="left"/>
      <w:pPr>
        <w:ind w:left="1440" w:hanging="360"/>
      </w:pPr>
      <w:rPr>
        <w:rFonts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0F71D5"/>
    <w:multiLevelType w:val="multilevel"/>
    <w:tmpl w:val="4E8E325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4B746AFD"/>
    <w:multiLevelType w:val="hybridMultilevel"/>
    <w:tmpl w:val="69764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8879CF"/>
    <w:multiLevelType w:val="multilevel"/>
    <w:tmpl w:val="ABB032D2"/>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2463E0"/>
    <w:multiLevelType w:val="multilevel"/>
    <w:tmpl w:val="BDD88D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5176412"/>
    <w:multiLevelType w:val="multilevel"/>
    <w:tmpl w:val="9C982094"/>
    <w:lvl w:ilvl="0">
      <w:start w:val="1"/>
      <w:numFmt w:val="decimal"/>
      <w:lvlText w:val="%1."/>
      <w:lvlJc w:val="left"/>
      <w:rPr>
        <w:b/>
        <w:i w:val="0"/>
        <w:iCs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697154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244AC0"/>
    <w:multiLevelType w:val="multilevel"/>
    <w:tmpl w:val="0415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8731EE"/>
    <w:multiLevelType w:val="hybridMultilevel"/>
    <w:tmpl w:val="7D2A1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
  </w:num>
  <w:num w:numId="3">
    <w:abstractNumId w:val="6"/>
  </w:num>
  <w:num w:numId="4">
    <w:abstractNumId w:val="9"/>
  </w:num>
  <w:num w:numId="5">
    <w:abstractNumId w:val="11"/>
  </w:num>
  <w:num w:numId="6">
    <w:abstractNumId w:val="1"/>
  </w:num>
  <w:num w:numId="7">
    <w:abstractNumId w:val="13"/>
  </w:num>
  <w:num w:numId="8">
    <w:abstractNumId w:val="5"/>
  </w:num>
  <w:num w:numId="9">
    <w:abstractNumId w:val="4"/>
  </w:num>
  <w:num w:numId="10">
    <w:abstractNumId w:val="2"/>
  </w:num>
  <w:num w:numId="11">
    <w:abstractNumId w:val="7"/>
  </w:num>
  <w:num w:numId="12">
    <w:abstractNumId w:val="10"/>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192"/>
    <w:rsid w:val="00001567"/>
    <w:rsid w:val="000649A4"/>
    <w:rsid w:val="000A0ACA"/>
    <w:rsid w:val="000B7F66"/>
    <w:rsid w:val="0031537E"/>
    <w:rsid w:val="00391587"/>
    <w:rsid w:val="004A5AD8"/>
    <w:rsid w:val="00551442"/>
    <w:rsid w:val="00604032"/>
    <w:rsid w:val="00680ABB"/>
    <w:rsid w:val="006A3E58"/>
    <w:rsid w:val="006B0C1C"/>
    <w:rsid w:val="007775C2"/>
    <w:rsid w:val="007A63B4"/>
    <w:rsid w:val="00817176"/>
    <w:rsid w:val="008C7F20"/>
    <w:rsid w:val="00A908C1"/>
    <w:rsid w:val="00AA46A9"/>
    <w:rsid w:val="00B90A93"/>
    <w:rsid w:val="00BE3FDB"/>
    <w:rsid w:val="00BF1823"/>
    <w:rsid w:val="00C057DE"/>
    <w:rsid w:val="00C65267"/>
    <w:rsid w:val="00C72048"/>
    <w:rsid w:val="00CD240E"/>
    <w:rsid w:val="00CD4ABA"/>
    <w:rsid w:val="00D85525"/>
    <w:rsid w:val="00EF1AB4"/>
    <w:rsid w:val="00FB61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3539"/>
  <w15:chartTrackingRefBased/>
  <w15:docId w15:val="{231B28B1-725D-4254-8B0A-292A3651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3FDB"/>
    <w:pPr>
      <w:ind w:left="720"/>
      <w:contextualSpacing/>
    </w:pPr>
  </w:style>
  <w:style w:type="paragraph" w:styleId="Tekstdymka">
    <w:name w:val="Balloon Text"/>
    <w:basedOn w:val="Normalny"/>
    <w:link w:val="TekstdymkaZnak"/>
    <w:uiPriority w:val="99"/>
    <w:semiHidden/>
    <w:unhideWhenUsed/>
    <w:rsid w:val="00BE3F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3FDB"/>
    <w:rPr>
      <w:rFonts w:ascii="Segoe UI" w:hAnsi="Segoe UI" w:cs="Segoe UI"/>
      <w:sz w:val="18"/>
      <w:szCs w:val="18"/>
    </w:rPr>
  </w:style>
  <w:style w:type="paragraph" w:styleId="NormalnyWeb">
    <w:name w:val="Normal (Web)"/>
    <w:uiPriority w:val="99"/>
    <w:rsid w:val="00BE3FDB"/>
    <w:pPr>
      <w:widowControl w:val="0"/>
      <w:suppressAutoHyphens/>
      <w:autoSpaceDN w:val="0"/>
      <w:spacing w:before="280" w:after="280" w:line="240" w:lineRule="auto"/>
      <w:textAlignment w:val="baseline"/>
    </w:pPr>
    <w:rPr>
      <w:rFonts w:ascii="Times New Roman" w:eastAsia="Times New Roman" w:hAnsi="Times New Roman" w:cs="Times New Roman"/>
      <w:kern w:val="3"/>
      <w:sz w:val="20"/>
      <w:szCs w:val="20"/>
      <w:lang w:eastAsia="pl-PL"/>
    </w:rPr>
  </w:style>
  <w:style w:type="paragraph" w:customStyle="1" w:styleId="Standard">
    <w:name w:val="Standard"/>
    <w:rsid w:val="00BE3FDB"/>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styleId="Tekstprzypisukocowego">
    <w:name w:val="endnote text"/>
    <w:basedOn w:val="Normalny"/>
    <w:link w:val="TekstprzypisukocowegoZnak"/>
    <w:uiPriority w:val="99"/>
    <w:semiHidden/>
    <w:unhideWhenUsed/>
    <w:rsid w:val="000A0A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0ACA"/>
    <w:rPr>
      <w:sz w:val="20"/>
      <w:szCs w:val="20"/>
    </w:rPr>
  </w:style>
  <w:style w:type="character" w:styleId="Odwoanieprzypisukocowego">
    <w:name w:val="endnote reference"/>
    <w:basedOn w:val="Domylnaczcionkaakapitu"/>
    <w:uiPriority w:val="99"/>
    <w:semiHidden/>
    <w:unhideWhenUsed/>
    <w:rsid w:val="000A0ACA"/>
    <w:rPr>
      <w:vertAlign w:val="superscript"/>
    </w:rPr>
  </w:style>
  <w:style w:type="paragraph" w:styleId="Tekstprzypisudolnego">
    <w:name w:val="footnote text"/>
    <w:basedOn w:val="Normalny"/>
    <w:link w:val="TekstprzypisudolnegoZnak"/>
    <w:unhideWhenUsed/>
    <w:rsid w:val="00680ABB"/>
    <w:pPr>
      <w:spacing w:after="0" w:line="240" w:lineRule="auto"/>
    </w:pPr>
    <w:rPr>
      <w:sz w:val="20"/>
      <w:szCs w:val="20"/>
    </w:rPr>
  </w:style>
  <w:style w:type="character" w:customStyle="1" w:styleId="TekstprzypisudolnegoZnak">
    <w:name w:val="Tekst przypisu dolnego Znak"/>
    <w:basedOn w:val="Domylnaczcionkaakapitu"/>
    <w:link w:val="Tekstprzypisudolnego"/>
    <w:rsid w:val="00680ABB"/>
    <w:rPr>
      <w:sz w:val="20"/>
      <w:szCs w:val="20"/>
    </w:rPr>
  </w:style>
  <w:style w:type="character" w:styleId="Odwoanieprzypisudolnego">
    <w:name w:val="footnote reference"/>
    <w:basedOn w:val="Domylnaczcionkaakapitu"/>
    <w:uiPriority w:val="99"/>
    <w:unhideWhenUsed/>
    <w:rsid w:val="00680ABB"/>
    <w:rPr>
      <w:vertAlign w:val="superscript"/>
    </w:rPr>
  </w:style>
  <w:style w:type="paragraph" w:styleId="Legenda">
    <w:name w:val="caption"/>
    <w:basedOn w:val="Normalny"/>
    <w:next w:val="Normalny"/>
    <w:uiPriority w:val="35"/>
    <w:semiHidden/>
    <w:unhideWhenUsed/>
    <w:qFormat/>
    <w:rsid w:val="00C72048"/>
    <w:pPr>
      <w:spacing w:after="200" w:line="240" w:lineRule="auto"/>
    </w:pPr>
    <w:rPr>
      <w:i/>
      <w:iCs/>
      <w:color w:val="44546A" w:themeColor="text2"/>
      <w:sz w:val="18"/>
      <w:szCs w:val="18"/>
    </w:rPr>
  </w:style>
  <w:style w:type="paragraph" w:styleId="Tekstkomentarza">
    <w:name w:val="annotation text"/>
    <w:link w:val="TekstkomentarzaZnak1"/>
    <w:uiPriority w:val="99"/>
    <w:rsid w:val="00C7204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TekstkomentarzaZnak">
    <w:name w:val="Tekst komentarza Znak"/>
    <w:basedOn w:val="Domylnaczcionkaakapitu"/>
    <w:uiPriority w:val="99"/>
    <w:semiHidden/>
    <w:rsid w:val="00C72048"/>
    <w:rPr>
      <w:sz w:val="20"/>
      <w:szCs w:val="20"/>
    </w:rPr>
  </w:style>
  <w:style w:type="character" w:styleId="Odwoaniedokomentarza">
    <w:name w:val="annotation reference"/>
    <w:uiPriority w:val="99"/>
    <w:rsid w:val="00C72048"/>
    <w:rPr>
      <w:sz w:val="16"/>
      <w:szCs w:val="16"/>
    </w:rPr>
  </w:style>
  <w:style w:type="character" w:customStyle="1" w:styleId="TekstkomentarzaZnak1">
    <w:name w:val="Tekst komentarza Znak1"/>
    <w:basedOn w:val="Domylnaczcionkaakapitu"/>
    <w:link w:val="Tekstkomentarza"/>
    <w:uiPriority w:val="99"/>
    <w:locked/>
    <w:rsid w:val="00C72048"/>
    <w:rPr>
      <w:rFonts w:ascii="Times New Roman" w:eastAsia="Times New Roman" w:hAnsi="Times New Roman" w:cs="Times New Roman"/>
      <w:kern w:val="3"/>
      <w:sz w:val="20"/>
      <w:szCs w:val="20"/>
      <w:lang w:eastAsia="pl-PL"/>
    </w:rPr>
  </w:style>
  <w:style w:type="paragraph" w:styleId="Nagwek">
    <w:name w:val="header"/>
    <w:basedOn w:val="Normalny"/>
    <w:link w:val="NagwekZnak"/>
    <w:uiPriority w:val="99"/>
    <w:unhideWhenUsed/>
    <w:rsid w:val="00C057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7DE"/>
  </w:style>
  <w:style w:type="paragraph" w:styleId="Stopka">
    <w:name w:val="footer"/>
    <w:basedOn w:val="Normalny"/>
    <w:link w:val="StopkaZnak"/>
    <w:uiPriority w:val="99"/>
    <w:unhideWhenUsed/>
    <w:rsid w:val="00C05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06C23-9EDF-42B7-ACE2-B439BAF0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1341</Words>
  <Characters>8046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Wiśniewska Jolanta</dc:creator>
  <cp:keywords/>
  <dc:description/>
  <cp:lastModifiedBy>Wiśniewska Jolanta</cp:lastModifiedBy>
  <cp:revision>2</cp:revision>
  <dcterms:created xsi:type="dcterms:W3CDTF">2020-09-25T11:47:00Z</dcterms:created>
  <dcterms:modified xsi:type="dcterms:W3CDTF">2020-09-25T11:47:00Z</dcterms:modified>
</cp:coreProperties>
</file>