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9F4" w:rsidRDefault="00273D75" w:rsidP="00AA6A43">
      <w:pPr>
        <w:spacing w:before="1800"/>
        <w:jc w:val="center"/>
      </w:pPr>
      <w:r>
        <w:rPr>
          <w:rFonts w:eastAsia="HG Mincho Light J;msmincho" w:cs="Arial Unicode MS;Arial"/>
          <w:b/>
          <w:bCs/>
          <w:color w:val="000000"/>
          <w:sz w:val="48"/>
          <w:szCs w:val="48"/>
          <w:lang w:bidi="pl-PL"/>
        </w:rPr>
        <w:t xml:space="preserve">Ekspertyza dotycząca kwestii podatku VAT </w:t>
      </w:r>
    </w:p>
    <w:p w:rsidR="004E59F4" w:rsidRDefault="00273D75">
      <w:pPr>
        <w:jc w:val="center"/>
      </w:pPr>
      <w:r>
        <w:rPr>
          <w:rFonts w:eastAsia="HG Mincho Light J;msmincho" w:cs="Arial Unicode MS;Arial"/>
          <w:b/>
          <w:bCs/>
          <w:color w:val="000000"/>
          <w:sz w:val="48"/>
          <w:szCs w:val="48"/>
          <w:lang w:bidi="pl-PL"/>
        </w:rPr>
        <w:t xml:space="preserve">w projekcie pt. </w:t>
      </w:r>
      <w:r>
        <w:rPr>
          <w:rFonts w:eastAsia="HG Mincho Light J;msmincho" w:cs="Arial Unicode MS;Arial"/>
          <w:b/>
          <w:bCs/>
          <w:i/>
          <w:iCs/>
          <w:color w:val="000000"/>
          <w:sz w:val="48"/>
          <w:szCs w:val="48"/>
          <w:lang w:bidi="pl-PL"/>
        </w:rPr>
        <w:t>„Usługi indywidualnego transportu door-to-door oraz poprawa dostępności architektonicznej wielorodzinnych budynków mieszkalnych”</w:t>
      </w:r>
      <w:r>
        <w:rPr>
          <w:rFonts w:eastAsia="HG Mincho Light J;msmincho" w:cs="Arial Unicode MS;Arial"/>
          <w:b/>
          <w:bCs/>
          <w:color w:val="000000"/>
          <w:sz w:val="48"/>
          <w:szCs w:val="48"/>
          <w:lang w:bidi="pl-PL"/>
        </w:rPr>
        <w:br/>
      </w:r>
    </w:p>
    <w:p w:rsidR="004E59F4" w:rsidRDefault="00273D75">
      <w:pPr>
        <w:tabs>
          <w:tab w:val="left" w:pos="1929"/>
        </w:tabs>
        <w:spacing w:before="227" w:after="227"/>
        <w:jc w:val="center"/>
        <w:rPr>
          <w:sz w:val="36"/>
          <w:szCs w:val="36"/>
        </w:rPr>
      </w:pPr>
      <w:r>
        <w:rPr>
          <w:rFonts w:eastAsia="HG Mincho Light J;msmincho" w:cs="Arial Unicode MS;Arial"/>
          <w:b/>
          <w:bCs/>
          <w:color w:val="000000"/>
          <w:sz w:val="36"/>
          <w:szCs w:val="36"/>
          <w:lang w:bidi="pl-PL"/>
        </w:rPr>
        <w:t>dla Państwowego Funduszu Rehabilitacji</w:t>
      </w:r>
    </w:p>
    <w:p w:rsidR="004E59F4" w:rsidRDefault="00273D75" w:rsidP="00AA6A43">
      <w:pPr>
        <w:tabs>
          <w:tab w:val="left" w:pos="1929"/>
        </w:tabs>
        <w:spacing w:before="227" w:after="6000"/>
        <w:jc w:val="center"/>
        <w:rPr>
          <w:sz w:val="36"/>
          <w:szCs w:val="36"/>
        </w:rPr>
      </w:pPr>
      <w:r>
        <w:rPr>
          <w:rFonts w:eastAsia="HG Mincho Light J;msmincho" w:cs="Arial Unicode MS;Arial"/>
          <w:b/>
          <w:bCs/>
          <w:color w:val="000000"/>
          <w:sz w:val="36"/>
          <w:szCs w:val="36"/>
          <w:lang w:bidi="pl-PL"/>
        </w:rPr>
        <w:t>Osób Niepełnosprawnych (PFRON)</w:t>
      </w:r>
    </w:p>
    <w:p w:rsidR="004E59F4" w:rsidRDefault="00273D75">
      <w:pPr>
        <w:pStyle w:val="Nagwekwykazurde"/>
        <w:jc w:val="center"/>
      </w:pPr>
      <w:r>
        <w:rPr>
          <w:b w:val="0"/>
          <w:bCs w:val="0"/>
          <w:sz w:val="26"/>
          <w:szCs w:val="26"/>
        </w:rPr>
        <w:t>Katowice, 24 kwietnia 2020 r.</w:t>
      </w:r>
      <w:r>
        <w:br w:type="page"/>
      </w:r>
    </w:p>
    <w:p w:rsidR="004E59F4" w:rsidRDefault="00273D75">
      <w:pPr>
        <w:pStyle w:val="Nagwekwykazurde"/>
      </w:pPr>
      <w:r>
        <w:lastRenderedPageBreak/>
        <w:t>Spis treści</w:t>
      </w:r>
    </w:p>
    <w:p w:rsidR="004E59F4" w:rsidRDefault="004E59F4">
      <w:pPr>
        <w:pStyle w:val="Nagwekwykazurde"/>
      </w:pPr>
    </w:p>
    <w:p w:rsidR="004E59F4" w:rsidRDefault="00273D75">
      <w:pPr>
        <w:pStyle w:val="Spistreci1"/>
        <w:tabs>
          <w:tab w:val="right" w:leader="dot" w:pos="9072"/>
        </w:tabs>
      </w:pPr>
      <w:r>
        <w:fldChar w:fldCharType="begin"/>
      </w:r>
      <w:r>
        <w:rPr>
          <w:rStyle w:val="czeindeksu"/>
        </w:rPr>
        <w:instrText>TOC \f \o "1-9" \h</w:instrText>
      </w:r>
      <w:r>
        <w:rPr>
          <w:rStyle w:val="czeindeksu"/>
        </w:rPr>
        <w:fldChar w:fldCharType="separate"/>
      </w:r>
      <w:hyperlink w:anchor="__RefHeading___Toc16442_512754799">
        <w:r>
          <w:rPr>
            <w:rStyle w:val="czeindeksu"/>
          </w:rPr>
          <w:t>I. Podstawa sporządzenia ekspertyzy</w:t>
        </w:r>
        <w:r>
          <w:rPr>
            <w:rStyle w:val="czeindeksu"/>
          </w:rPr>
          <w:tab/>
          <w:t>3</w:t>
        </w:r>
      </w:hyperlink>
    </w:p>
    <w:p w:rsidR="004E59F4" w:rsidRDefault="00BD040E">
      <w:pPr>
        <w:pStyle w:val="Spistreci1"/>
        <w:tabs>
          <w:tab w:val="right" w:leader="dot" w:pos="9072"/>
        </w:tabs>
      </w:pPr>
      <w:hyperlink w:anchor="__RefHeading___Toc4961_61956352">
        <w:r w:rsidR="00273D75">
          <w:rPr>
            <w:rStyle w:val="czeindeksu"/>
          </w:rPr>
          <w:t>II. Przedmiot Umowy (ekspertyzy)</w:t>
        </w:r>
        <w:r w:rsidR="00273D75">
          <w:rPr>
            <w:rStyle w:val="czeindeksu"/>
          </w:rPr>
          <w:tab/>
          <w:t>3</w:t>
        </w:r>
      </w:hyperlink>
    </w:p>
    <w:p w:rsidR="004E59F4" w:rsidRDefault="00BD040E">
      <w:pPr>
        <w:pStyle w:val="Spistreci1"/>
        <w:tabs>
          <w:tab w:val="right" w:leader="dot" w:pos="9072"/>
        </w:tabs>
      </w:pPr>
      <w:hyperlink w:anchor="__RefHeading___Toc4963_61956352">
        <w:r w:rsidR="00273D75">
          <w:rPr>
            <w:rStyle w:val="czeindeksu"/>
          </w:rPr>
          <w:t>III. Stan faktyczny i stan prawny</w:t>
        </w:r>
        <w:r w:rsidR="00273D75">
          <w:rPr>
            <w:rStyle w:val="czeindeksu"/>
          </w:rPr>
          <w:tab/>
          <w:t>5</w:t>
        </w:r>
      </w:hyperlink>
    </w:p>
    <w:p w:rsidR="004E59F4" w:rsidRDefault="00BD040E">
      <w:pPr>
        <w:pStyle w:val="Spistreci1"/>
        <w:tabs>
          <w:tab w:val="right" w:leader="dot" w:pos="9072"/>
        </w:tabs>
      </w:pPr>
      <w:hyperlink w:anchor="__RefHeading___Toc4965_61956352">
        <w:r w:rsidR="00273D75">
          <w:rPr>
            <w:rStyle w:val="czeindeksu"/>
          </w:rPr>
          <w:t>IV. Wykaz aktów prawnych i stosowanych skrótów</w:t>
        </w:r>
        <w:r w:rsidR="00273D75">
          <w:rPr>
            <w:rStyle w:val="czeindeksu"/>
          </w:rPr>
          <w:tab/>
          <w:t>11</w:t>
        </w:r>
      </w:hyperlink>
    </w:p>
    <w:p w:rsidR="004E59F4" w:rsidRDefault="00BD040E">
      <w:pPr>
        <w:pStyle w:val="Spistreci1"/>
        <w:tabs>
          <w:tab w:val="right" w:leader="dot" w:pos="9072"/>
        </w:tabs>
      </w:pPr>
      <w:hyperlink w:anchor="__RefHeading___Toc4967_61956352">
        <w:r w:rsidR="00273D75">
          <w:rPr>
            <w:rStyle w:val="czeindeksu"/>
          </w:rPr>
          <w:t>V. Analiza zagadnienia</w:t>
        </w:r>
        <w:r w:rsidR="00273D75">
          <w:rPr>
            <w:rStyle w:val="czeindeksu"/>
          </w:rPr>
          <w:tab/>
          <w:t>13</w:t>
        </w:r>
      </w:hyperlink>
    </w:p>
    <w:p w:rsidR="004E59F4" w:rsidRDefault="00BD040E">
      <w:pPr>
        <w:pStyle w:val="Spistreci2"/>
        <w:tabs>
          <w:tab w:val="right" w:leader="dot" w:pos="9072"/>
        </w:tabs>
      </w:pPr>
      <w:hyperlink w:anchor="__RefHeading___Toc4969_61956352">
        <w:r w:rsidR="00273D75">
          <w:rPr>
            <w:rStyle w:val="czeindeksu"/>
          </w:rPr>
          <w:t>1. VAT od otrzymanej dotacji na realizację usług transportowych door-to-door przez JST</w:t>
        </w:r>
        <w:r w:rsidR="00273D75">
          <w:rPr>
            <w:rStyle w:val="czeindeksu"/>
          </w:rPr>
          <w:tab/>
          <w:t>13</w:t>
        </w:r>
      </w:hyperlink>
    </w:p>
    <w:p w:rsidR="004E59F4" w:rsidRDefault="00BD040E">
      <w:pPr>
        <w:pStyle w:val="Spistreci2"/>
        <w:tabs>
          <w:tab w:val="right" w:leader="dot" w:pos="9072"/>
        </w:tabs>
      </w:pPr>
      <w:hyperlink w:anchor="__RefHeading___Toc4977_61956352">
        <w:r w:rsidR="00273D75">
          <w:rPr>
            <w:rStyle w:val="czeindeksu"/>
          </w:rPr>
          <w:t>2. VAT od zakupu przez JST pojazdu służącego do przewozu osób o szczególnych potrzebach</w:t>
        </w:r>
        <w:r w:rsidR="00273D75">
          <w:rPr>
            <w:rStyle w:val="czeindeksu"/>
          </w:rPr>
          <w:tab/>
          <w:t>31</w:t>
        </w:r>
      </w:hyperlink>
    </w:p>
    <w:p w:rsidR="004E59F4" w:rsidRDefault="00BD040E">
      <w:pPr>
        <w:pStyle w:val="Spistreci2"/>
        <w:tabs>
          <w:tab w:val="right" w:leader="dot" w:pos="9072"/>
        </w:tabs>
      </w:pPr>
      <w:hyperlink w:anchor="__RefHeading___Toc3776_3235734992">
        <w:r w:rsidR="00273D75">
          <w:rPr>
            <w:rStyle w:val="czeindeksu"/>
          </w:rPr>
          <w:t>3. VAT od leasingu przez JST pojazdu służącego do przewozu osób o szczególnych potrzebach</w:t>
        </w:r>
        <w:r w:rsidR="00273D75">
          <w:rPr>
            <w:rStyle w:val="czeindeksu"/>
          </w:rPr>
          <w:tab/>
          <w:t>36</w:t>
        </w:r>
      </w:hyperlink>
    </w:p>
    <w:p w:rsidR="004E59F4" w:rsidRDefault="00BD040E">
      <w:pPr>
        <w:pStyle w:val="Spistreci2"/>
        <w:tabs>
          <w:tab w:val="right" w:leader="dot" w:pos="9072"/>
        </w:tabs>
      </w:pPr>
      <w:hyperlink w:anchor="__RefHeading___Toc4851_1472122084">
        <w:r w:rsidR="00273D75">
          <w:rPr>
            <w:rStyle w:val="czeindeksu"/>
          </w:rPr>
          <w:t>4. VAT od świadczenia usług transportowych door-to-door przez JST lub spółkę komunalną</w:t>
        </w:r>
        <w:r w:rsidR="00273D75">
          <w:rPr>
            <w:rStyle w:val="czeindeksu"/>
          </w:rPr>
          <w:tab/>
          <w:t>37</w:t>
        </w:r>
      </w:hyperlink>
    </w:p>
    <w:p w:rsidR="004E59F4" w:rsidRDefault="00BD040E">
      <w:pPr>
        <w:pStyle w:val="Spistreci2"/>
        <w:tabs>
          <w:tab w:val="right" w:leader="dot" w:pos="9072"/>
        </w:tabs>
      </w:pPr>
      <w:hyperlink w:anchor="__RefHeading___Toc4853_1472122084">
        <w:r w:rsidR="00273D75">
          <w:rPr>
            <w:rStyle w:val="czeindeksu"/>
          </w:rPr>
          <w:t>5. VAT od świadczenia usług transportowych door-to-door przez podmiot, któremu JST powierzył wykonanie usługi (firma lub organizacja pozarządowa)</w:t>
        </w:r>
        <w:r w:rsidR="00273D75">
          <w:rPr>
            <w:rStyle w:val="czeindeksu"/>
          </w:rPr>
          <w:tab/>
          <w:t>48</w:t>
        </w:r>
      </w:hyperlink>
    </w:p>
    <w:p w:rsidR="004E59F4" w:rsidRDefault="00BD040E">
      <w:pPr>
        <w:pStyle w:val="Spistreci2"/>
        <w:tabs>
          <w:tab w:val="right" w:leader="dot" w:pos="9072"/>
        </w:tabs>
      </w:pPr>
      <w:hyperlink w:anchor="__RefHeading___Toc4855_1472122084">
        <w:r w:rsidR="00273D75">
          <w:rPr>
            <w:rStyle w:val="czeindeksu"/>
          </w:rPr>
          <w:t>6. Rozliczenie przejazdu - dokumentacja</w:t>
        </w:r>
        <w:r w:rsidR="00273D75">
          <w:rPr>
            <w:rStyle w:val="czeindeksu"/>
          </w:rPr>
          <w:tab/>
          <w:t>51</w:t>
        </w:r>
      </w:hyperlink>
    </w:p>
    <w:p w:rsidR="004E59F4" w:rsidRDefault="00BD040E">
      <w:pPr>
        <w:pStyle w:val="Spistreci2"/>
        <w:tabs>
          <w:tab w:val="right" w:leader="dot" w:pos="9072"/>
        </w:tabs>
      </w:pPr>
      <w:hyperlink w:anchor="__RefHeading___Toc4857_1472122084">
        <w:r w:rsidR="00273D75">
          <w:rPr>
            <w:rStyle w:val="czeindeksu"/>
          </w:rPr>
          <w:t>7. Ewidencja przebiegu pojazdu</w:t>
        </w:r>
        <w:r w:rsidR="00273D75">
          <w:rPr>
            <w:rStyle w:val="czeindeksu"/>
          </w:rPr>
          <w:tab/>
          <w:t>53</w:t>
        </w:r>
      </w:hyperlink>
    </w:p>
    <w:p w:rsidR="004E59F4" w:rsidRDefault="00BD040E">
      <w:pPr>
        <w:pStyle w:val="Spistreci2"/>
        <w:tabs>
          <w:tab w:val="right" w:leader="dot" w:pos="9072"/>
        </w:tabs>
      </w:pPr>
      <w:hyperlink w:anchor="__RefHeading___Toc4859_1472122084">
        <w:r w:rsidR="00273D75">
          <w:rPr>
            <w:rStyle w:val="czeindeksu"/>
          </w:rPr>
          <w:t>8. Weryfikacja kwalifikowalności podatku VAT</w:t>
        </w:r>
        <w:r w:rsidR="00273D75">
          <w:rPr>
            <w:rStyle w:val="czeindeksu"/>
          </w:rPr>
          <w:tab/>
          <w:t>55</w:t>
        </w:r>
      </w:hyperlink>
    </w:p>
    <w:p w:rsidR="004E59F4" w:rsidRDefault="00BD040E">
      <w:pPr>
        <w:pStyle w:val="Spistreci1"/>
        <w:tabs>
          <w:tab w:val="right" w:leader="dot" w:pos="9072"/>
        </w:tabs>
      </w:pPr>
      <w:hyperlink w:anchor="__RefHeading___Toc14242_3456557757">
        <w:r w:rsidR="00273D75">
          <w:rPr>
            <w:rStyle w:val="czeindeksu"/>
          </w:rPr>
          <w:t>VI. Wnioski</w:t>
        </w:r>
        <w:r w:rsidR="00273D75">
          <w:rPr>
            <w:rStyle w:val="czeindeksu"/>
          </w:rPr>
          <w:tab/>
          <w:t>64</w:t>
        </w:r>
      </w:hyperlink>
    </w:p>
    <w:p w:rsidR="004E59F4" w:rsidRDefault="00273D75">
      <w:pPr>
        <w:spacing w:line="300" w:lineRule="auto"/>
        <w:rPr>
          <w:i/>
          <w:iCs/>
        </w:rPr>
      </w:pPr>
      <w:r>
        <w:rPr>
          <w:i/>
          <w:iCs/>
        </w:rPr>
        <w:fldChar w:fldCharType="end"/>
      </w:r>
    </w:p>
    <w:p w:rsidR="004E59F4" w:rsidRDefault="00273D75">
      <w:pPr>
        <w:spacing w:line="300" w:lineRule="auto"/>
      </w:pPr>
      <w:r>
        <w:rPr>
          <w:i/>
          <w:iCs/>
        </w:rPr>
        <w:t>Załącznik nr 1. Oświadczenie o kwalifikowalności podatku od towarów i usług (VAT)</w:t>
      </w:r>
    </w:p>
    <w:p w:rsidR="004E59F4" w:rsidRDefault="00273D75">
      <w:pPr>
        <w:spacing w:line="300" w:lineRule="auto"/>
        <w:rPr>
          <w:rFonts w:ascii="Calibri" w:hAnsi="Calibri"/>
          <w:i/>
          <w:iCs/>
        </w:rPr>
      </w:pPr>
      <w:r>
        <w:rPr>
          <w:i/>
          <w:iCs/>
        </w:rPr>
        <w:t>Załącznik nr 2. Ankieta weryfikująca kwalifikowalność VAT</w:t>
      </w:r>
    </w:p>
    <w:p w:rsidR="004E59F4" w:rsidRDefault="00273D75">
      <w:pPr>
        <w:spacing w:line="300" w:lineRule="auto"/>
        <w:rPr>
          <w:rFonts w:ascii="Calibri" w:hAnsi="Calibri"/>
          <w:i/>
          <w:iCs/>
        </w:rPr>
      </w:pPr>
      <w:r>
        <w:br w:type="page"/>
      </w:r>
    </w:p>
    <w:p w:rsidR="004E59F4" w:rsidRDefault="00273D75">
      <w:pPr>
        <w:pStyle w:val="Nagwek1"/>
        <w:spacing w:before="0" w:after="283"/>
        <w:jc w:val="both"/>
        <w:rPr>
          <w:rFonts w:ascii="Calibri" w:hAnsi="Calibri"/>
          <w:sz w:val="24"/>
          <w:szCs w:val="24"/>
        </w:rPr>
      </w:pPr>
      <w:bookmarkStart w:id="0" w:name="__RefHeading___Toc16442_512754799"/>
      <w:bookmarkEnd w:id="0"/>
      <w:r>
        <w:rPr>
          <w:rFonts w:ascii="Calibri" w:hAnsi="Calibri"/>
          <w:sz w:val="24"/>
          <w:szCs w:val="24"/>
        </w:rPr>
        <w:lastRenderedPageBreak/>
        <w:t>I. Podstawa sporządzenia ekspertyzy</w:t>
      </w:r>
    </w:p>
    <w:p w:rsidR="004E59F4" w:rsidRDefault="00273D75">
      <w:pPr>
        <w:spacing w:line="300" w:lineRule="auto"/>
        <w:jc w:val="both"/>
        <w:rPr>
          <w:color w:val="000000"/>
          <w:sz w:val="24"/>
          <w:szCs w:val="24"/>
        </w:rPr>
      </w:pPr>
      <w:r>
        <w:rPr>
          <w:color w:val="000000"/>
          <w:sz w:val="24"/>
          <w:szCs w:val="24"/>
        </w:rPr>
        <w:t xml:space="preserve">Podstawą sporządzenia niniejszej ekspertyzy jest umowa nr 2020/04/151 </w:t>
      </w:r>
      <w:r>
        <w:rPr>
          <w:sz w:val="24"/>
          <w:szCs w:val="24"/>
        </w:rPr>
        <w:t xml:space="preserve">zawarta w dniu 2 kwietnia 2020 r. (dalej - „Umowa”) pomiędzy Państwowym Funduszem Rehabilitacji Osób Niepełnosprawnych </w:t>
      </w:r>
      <w:r>
        <w:rPr>
          <w:color w:val="000000"/>
          <w:sz w:val="24"/>
          <w:szCs w:val="24"/>
        </w:rPr>
        <w:t>(dalej - „PFRON”)</w:t>
      </w:r>
      <w:r>
        <w:rPr>
          <w:sz w:val="24"/>
          <w:szCs w:val="24"/>
        </w:rPr>
        <w:t xml:space="preserve"> a spółką Grupa </w:t>
      </w:r>
      <w:proofErr w:type="spellStart"/>
      <w:r>
        <w:rPr>
          <w:sz w:val="24"/>
          <w:szCs w:val="24"/>
        </w:rPr>
        <w:t>Gumułka</w:t>
      </w:r>
      <w:proofErr w:type="spellEnd"/>
      <w:r>
        <w:rPr>
          <w:sz w:val="24"/>
          <w:szCs w:val="24"/>
        </w:rPr>
        <w:t xml:space="preserve"> - Kancelaria Prawa Finansowego Sp. z o.o. </w:t>
      </w:r>
    </w:p>
    <w:p w:rsidR="004E59F4" w:rsidRDefault="004E59F4">
      <w:pPr>
        <w:spacing w:line="300" w:lineRule="auto"/>
        <w:jc w:val="both"/>
        <w:rPr>
          <w:rFonts w:ascii="Calibri" w:hAnsi="Calibri"/>
          <w:sz w:val="24"/>
          <w:szCs w:val="24"/>
        </w:rPr>
      </w:pPr>
    </w:p>
    <w:p w:rsidR="004E59F4" w:rsidRDefault="00273D75">
      <w:pPr>
        <w:pStyle w:val="Nagwek1"/>
        <w:spacing w:after="283" w:line="300" w:lineRule="auto"/>
        <w:jc w:val="both"/>
        <w:rPr>
          <w:rFonts w:ascii="Calibri" w:hAnsi="Calibri"/>
          <w:bCs/>
          <w:color w:val="000000"/>
          <w:sz w:val="24"/>
          <w:szCs w:val="24"/>
        </w:rPr>
      </w:pPr>
      <w:bookmarkStart w:id="1" w:name="__RefHeading___Toc4961_61956352"/>
      <w:bookmarkEnd w:id="1"/>
      <w:r>
        <w:rPr>
          <w:rFonts w:ascii="Calibri" w:hAnsi="Calibri"/>
          <w:bCs/>
          <w:color w:val="000000"/>
          <w:sz w:val="24"/>
          <w:szCs w:val="24"/>
        </w:rPr>
        <w:t>II. Przedmio</w:t>
      </w:r>
      <w:bookmarkStart w:id="2" w:name="_GoBack"/>
      <w:bookmarkEnd w:id="2"/>
      <w:r>
        <w:rPr>
          <w:rFonts w:ascii="Calibri" w:hAnsi="Calibri"/>
          <w:bCs/>
          <w:color w:val="000000"/>
          <w:sz w:val="24"/>
          <w:szCs w:val="24"/>
        </w:rPr>
        <w:t>t Umowy (ekspertyzy)</w:t>
      </w:r>
    </w:p>
    <w:p w:rsidR="004E59F4" w:rsidRDefault="00273D75">
      <w:pPr>
        <w:spacing w:line="300" w:lineRule="auto"/>
        <w:jc w:val="both"/>
      </w:pPr>
      <w:r>
        <w:rPr>
          <w:color w:val="000000"/>
          <w:sz w:val="24"/>
          <w:szCs w:val="24"/>
        </w:rPr>
        <w:t xml:space="preserve">Przedmiotem Umowy jest opracowanie ekspertyzy dotyczącej kwestii podatku VAT dla Wnioskodawców będących jednostkami samorządu terytorialnego, którzy w ramach konkursu grantowego zorganizowanego przez PFRON pozyskają środki na świadczenie usług indywidualnego transportu door-to-door dla osób o szczególnych potrzebach w zakresie mobilności – w ramach projektu pt. </w:t>
      </w:r>
      <w:r>
        <w:rPr>
          <w:i/>
          <w:iCs/>
          <w:color w:val="000000"/>
          <w:sz w:val="24"/>
          <w:szCs w:val="24"/>
        </w:rPr>
        <w:t xml:space="preserve">„Usługi indywidualnego transportu door-to-door  oraz poprawa dostępności architektonicznej wielorodzinnych budynków mieszkalnych”. </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pPr>
      <w:r>
        <w:rPr>
          <w:color w:val="000000"/>
          <w:sz w:val="24"/>
          <w:szCs w:val="24"/>
        </w:rPr>
        <w:t xml:space="preserve">Ekspertyza ma na celu określenie/wskazanie, czy jednostki samorządu terytorialnego (dalej - „JST”) będą zobowiązane do odprowadzenia/zapłaty podatku VAT, jeśli tak to według jakiej stawki oraz ustalenie kwestii ewentualnych odliczeń ze wskazaniem podstawy prawnej w następujących obszarach:  </w:t>
      </w:r>
    </w:p>
    <w:p w:rsidR="004E59F4" w:rsidRDefault="00273D75">
      <w:pPr>
        <w:numPr>
          <w:ilvl w:val="0"/>
          <w:numId w:val="1"/>
        </w:numPr>
        <w:spacing w:line="300" w:lineRule="auto"/>
        <w:jc w:val="both"/>
        <w:rPr>
          <w:rFonts w:ascii="Calibri" w:hAnsi="Calibri"/>
          <w:color w:val="000000"/>
          <w:sz w:val="24"/>
          <w:szCs w:val="24"/>
        </w:rPr>
      </w:pPr>
      <w:r>
        <w:rPr>
          <w:color w:val="000000"/>
          <w:sz w:val="24"/>
          <w:szCs w:val="24"/>
        </w:rPr>
        <w:t xml:space="preserve">VAT od otrzymanej dotacji na realizację usług transportowych door-to-door przez JST; </w:t>
      </w:r>
    </w:p>
    <w:p w:rsidR="004E59F4" w:rsidRDefault="00273D75">
      <w:pPr>
        <w:numPr>
          <w:ilvl w:val="0"/>
          <w:numId w:val="1"/>
        </w:numPr>
        <w:spacing w:line="300" w:lineRule="auto"/>
        <w:jc w:val="both"/>
        <w:rPr>
          <w:rFonts w:ascii="Calibri" w:hAnsi="Calibri"/>
          <w:color w:val="000000"/>
          <w:sz w:val="24"/>
          <w:szCs w:val="24"/>
        </w:rPr>
      </w:pPr>
      <w:r>
        <w:rPr>
          <w:color w:val="000000"/>
          <w:sz w:val="24"/>
          <w:szCs w:val="24"/>
        </w:rPr>
        <w:t xml:space="preserve">VAT od zakupu przez JST pojazdu służącego do przewozu osób o szczególnych potrzebach (m.in. busów 7, 8 i 10-osobowych przystosowanych do przewozu osób niepełnosprawnych); </w:t>
      </w:r>
    </w:p>
    <w:p w:rsidR="004E59F4" w:rsidRDefault="00273D75">
      <w:pPr>
        <w:numPr>
          <w:ilvl w:val="0"/>
          <w:numId w:val="1"/>
        </w:numPr>
        <w:spacing w:line="300" w:lineRule="auto"/>
        <w:jc w:val="both"/>
        <w:rPr>
          <w:rFonts w:ascii="Calibri" w:hAnsi="Calibri"/>
          <w:color w:val="000000"/>
          <w:sz w:val="24"/>
          <w:szCs w:val="24"/>
        </w:rPr>
      </w:pPr>
      <w:r>
        <w:rPr>
          <w:color w:val="000000"/>
          <w:sz w:val="24"/>
          <w:szCs w:val="24"/>
        </w:rPr>
        <w:t xml:space="preserve">VAT od leasingu przez JST pojazdu służącego do przewozu osób o szczególnych potrzebach; </w:t>
      </w:r>
    </w:p>
    <w:p w:rsidR="004E59F4" w:rsidRDefault="00273D75">
      <w:pPr>
        <w:numPr>
          <w:ilvl w:val="0"/>
          <w:numId w:val="1"/>
        </w:numPr>
        <w:spacing w:line="300" w:lineRule="auto"/>
        <w:jc w:val="both"/>
        <w:rPr>
          <w:rFonts w:ascii="Calibri" w:hAnsi="Calibri"/>
          <w:color w:val="000000"/>
          <w:sz w:val="24"/>
          <w:szCs w:val="24"/>
        </w:rPr>
      </w:pPr>
      <w:r>
        <w:rPr>
          <w:color w:val="000000"/>
          <w:sz w:val="24"/>
          <w:szCs w:val="24"/>
        </w:rPr>
        <w:t xml:space="preserve">VAT od świadczenia usług transportowych door-to-door przez JST lub spółkę komunalną; </w:t>
      </w:r>
    </w:p>
    <w:p w:rsidR="004E59F4" w:rsidRDefault="00273D75">
      <w:pPr>
        <w:numPr>
          <w:ilvl w:val="0"/>
          <w:numId w:val="1"/>
        </w:numPr>
        <w:spacing w:line="300" w:lineRule="auto"/>
        <w:jc w:val="both"/>
      </w:pPr>
      <w:r>
        <w:rPr>
          <w:color w:val="000000"/>
          <w:sz w:val="24"/>
          <w:szCs w:val="24"/>
        </w:rPr>
        <w:t xml:space="preserve">VAT  od  świadczenia  usług  transportowych  door-to-door  przez  podmiot,  któremu JST powierzył wykonanie usługi (firma lub organizacja pozarządowa);  </w:t>
      </w:r>
    </w:p>
    <w:p w:rsidR="004E59F4" w:rsidRDefault="00273D75">
      <w:pPr>
        <w:spacing w:line="300" w:lineRule="auto"/>
        <w:ind w:left="720"/>
        <w:jc w:val="both"/>
      </w:pPr>
      <w:r>
        <w:rPr>
          <w:color w:val="000000"/>
          <w:sz w:val="24"/>
          <w:szCs w:val="24"/>
        </w:rPr>
        <w:t>W tym zakresie analizie podlega kwestia ewentualnego odliczenia VAT od usług świadczonych przez firmę lub organizację pozarządową na rzecz JST, tj. analizie nie podlega kwestia VAT w relacji firma/organizacja pozarządowa - pasażer.</w:t>
      </w:r>
    </w:p>
    <w:p w:rsidR="004E59F4" w:rsidRDefault="00273D75">
      <w:pPr>
        <w:numPr>
          <w:ilvl w:val="0"/>
          <w:numId w:val="1"/>
        </w:numPr>
        <w:spacing w:line="300" w:lineRule="auto"/>
        <w:jc w:val="both"/>
      </w:pPr>
      <w:r>
        <w:rPr>
          <w:color w:val="000000"/>
          <w:sz w:val="24"/>
          <w:szCs w:val="24"/>
        </w:rPr>
        <w:lastRenderedPageBreak/>
        <w:t xml:space="preserve">Na podstawie jakich dokumentów powinno nastąpić rozliczenie przejazdu (usługi door-to-door na rzecz użytkownika – beneficjenta ostatecznego); </w:t>
      </w:r>
    </w:p>
    <w:p w:rsidR="004E59F4" w:rsidRDefault="00273D75">
      <w:pPr>
        <w:numPr>
          <w:ilvl w:val="0"/>
          <w:numId w:val="1"/>
        </w:numPr>
        <w:spacing w:line="300" w:lineRule="auto"/>
        <w:jc w:val="both"/>
        <w:rPr>
          <w:rFonts w:ascii="Calibri" w:hAnsi="Calibri"/>
          <w:color w:val="000000"/>
          <w:sz w:val="24"/>
          <w:szCs w:val="24"/>
        </w:rPr>
      </w:pPr>
      <w:r>
        <w:rPr>
          <w:color w:val="000000"/>
          <w:sz w:val="24"/>
          <w:szCs w:val="24"/>
        </w:rPr>
        <w:t xml:space="preserve">Czy JST zobowiązane będą do prowadzenia ewidencji przebiegu pojazdu, w przypadku jego zakupu lub leasingu ze środków grantu? </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color w:val="000000"/>
          <w:sz w:val="24"/>
          <w:szCs w:val="24"/>
        </w:rPr>
      </w:pPr>
      <w:r>
        <w:rPr>
          <w:color w:val="000000"/>
          <w:sz w:val="24"/>
          <w:szCs w:val="24"/>
        </w:rPr>
        <w:t xml:space="preserve">W każdym z ww. obszarów, informacja powinna dotyczyć zarówno przypadku, gdy usługi door-to-door świadczone są bezpłatnie, jak i przypadku pobierania opłat za przejazd od użytkownika – beneficjenta ostatecznego. </w:t>
      </w:r>
    </w:p>
    <w:p w:rsidR="004E59F4" w:rsidRDefault="004E59F4">
      <w:pPr>
        <w:spacing w:line="300" w:lineRule="auto"/>
        <w:jc w:val="both"/>
        <w:rPr>
          <w:rFonts w:ascii="Calibri" w:hAnsi="Calibri"/>
          <w:color w:val="000000"/>
          <w:sz w:val="24"/>
          <w:szCs w:val="24"/>
        </w:rPr>
      </w:pPr>
    </w:p>
    <w:p w:rsidR="004E59F4" w:rsidRDefault="00273D75">
      <w:pPr>
        <w:numPr>
          <w:ilvl w:val="0"/>
          <w:numId w:val="1"/>
        </w:numPr>
        <w:spacing w:line="300" w:lineRule="auto"/>
        <w:jc w:val="both"/>
        <w:rPr>
          <w:rFonts w:ascii="Calibri" w:hAnsi="Calibri"/>
          <w:color w:val="000000"/>
          <w:sz w:val="24"/>
          <w:szCs w:val="24"/>
        </w:rPr>
      </w:pPr>
      <w:r>
        <w:rPr>
          <w:color w:val="000000"/>
          <w:sz w:val="24"/>
          <w:szCs w:val="24"/>
        </w:rPr>
        <w:t xml:space="preserve">W jaki sposób PFRON w ramach rozliczania grantów powinien weryfikować kwalifikowalność podatku VAT przy zakupie pojazdów, ujęcia ich w środki trwałe oraz leasingu – czy wystarczy oświadczenie  o  zasadach  rozliczenia  VAT  obowiązujących  w  danej  jednostce  oraz  jaka powinna być jego treść.  </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pPr>
      <w:r>
        <w:rPr>
          <w:color w:val="000000"/>
          <w:sz w:val="24"/>
          <w:szCs w:val="24"/>
        </w:rPr>
        <w:t>W  odniesieniu  do  każdego  z  ww.  zakresów  należy  opracować  odpowiednie  dokumenty/formularze, które będą wypełniać Wnioskodawcy, jeśli są one potrzebne, wraz z instrukcją ich wypełniania.</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color w:val="000000"/>
          <w:sz w:val="24"/>
          <w:szCs w:val="24"/>
        </w:rPr>
      </w:pPr>
      <w:r>
        <w:rPr>
          <w:color w:val="000000"/>
          <w:sz w:val="24"/>
          <w:szCs w:val="24"/>
        </w:rPr>
        <w:t xml:space="preserve">Ponadto ekspertyza powinna zawierać: </w:t>
      </w:r>
    </w:p>
    <w:p w:rsidR="004E59F4" w:rsidRDefault="00273D75">
      <w:pPr>
        <w:numPr>
          <w:ilvl w:val="0"/>
          <w:numId w:val="2"/>
        </w:numPr>
        <w:spacing w:line="300" w:lineRule="auto"/>
        <w:jc w:val="both"/>
      </w:pPr>
      <w:r>
        <w:rPr>
          <w:color w:val="000000"/>
          <w:sz w:val="24"/>
          <w:szCs w:val="24"/>
        </w:rPr>
        <w:t xml:space="preserve">analizę ewentualnych </w:t>
      </w:r>
      <w:proofErr w:type="spellStart"/>
      <w:r>
        <w:rPr>
          <w:color w:val="000000"/>
          <w:sz w:val="24"/>
          <w:szCs w:val="24"/>
        </w:rPr>
        <w:t>ryzyk</w:t>
      </w:r>
      <w:proofErr w:type="spellEnd"/>
      <w:r>
        <w:rPr>
          <w:color w:val="000000"/>
          <w:sz w:val="24"/>
          <w:szCs w:val="24"/>
        </w:rPr>
        <w:t xml:space="preserve"> związanych z uznaniem VAT za wydatek  kwalifikowalny w ramach grantu w przypadku tych JST, które przedstawią oświadczenie, iż realizując projekt nie mają prawnej możliwości jego odzyskania  na  mocy  prawodawstwa  krajowego  oraz zobowiążą  się  do  zwrotu  zrefundowanej  już w ramach projektu części poniesionego VAT (wynikającego z zapisów  budżetu  projektu), jeżeli zaistnieją przesłanki umożliwiające odzyskanie tego podatku; </w:t>
      </w:r>
    </w:p>
    <w:p w:rsidR="004E59F4" w:rsidRDefault="00273D75">
      <w:pPr>
        <w:numPr>
          <w:ilvl w:val="0"/>
          <w:numId w:val="2"/>
        </w:numPr>
        <w:spacing w:line="300" w:lineRule="auto"/>
        <w:jc w:val="both"/>
      </w:pPr>
      <w:r>
        <w:rPr>
          <w:color w:val="000000"/>
          <w:sz w:val="24"/>
          <w:szCs w:val="24"/>
        </w:rPr>
        <w:t xml:space="preserve">określenie metod weryfikacji, czy ww. przesłanki nie zaistniały w okresie realizacji projektu lub w okresie trwałości, wraz z opracowaniem odpowiednich  dokumentów/formularzy służących takiej weryfikacji, jeśli będą one potrzebne, wraz z instrukcją ich stosowania; </w:t>
      </w:r>
    </w:p>
    <w:p w:rsidR="004E59F4" w:rsidRDefault="00273D75">
      <w:pPr>
        <w:numPr>
          <w:ilvl w:val="0"/>
          <w:numId w:val="2"/>
        </w:numPr>
        <w:spacing w:line="300" w:lineRule="auto"/>
        <w:jc w:val="both"/>
      </w:pPr>
      <w:r>
        <w:rPr>
          <w:color w:val="000000"/>
          <w:sz w:val="24"/>
          <w:szCs w:val="24"/>
        </w:rPr>
        <w:t xml:space="preserve">wskazanie przepisów prawa, które mają zastosowanie do niniejszej opinii prawnej/ekspertyzy; </w:t>
      </w:r>
    </w:p>
    <w:p w:rsidR="004E59F4" w:rsidRDefault="00273D75">
      <w:pPr>
        <w:numPr>
          <w:ilvl w:val="0"/>
          <w:numId w:val="2"/>
        </w:numPr>
        <w:spacing w:line="300" w:lineRule="auto"/>
        <w:jc w:val="both"/>
        <w:rPr>
          <w:rFonts w:ascii="Calibri" w:hAnsi="Calibri"/>
          <w:color w:val="000000"/>
          <w:sz w:val="24"/>
          <w:szCs w:val="24"/>
        </w:rPr>
      </w:pPr>
      <w:r>
        <w:rPr>
          <w:color w:val="000000"/>
          <w:sz w:val="24"/>
          <w:szCs w:val="24"/>
        </w:rPr>
        <w:t xml:space="preserve">wskazanie orzecznictwa lub interpretacji podatkowych do poruszanych w opinii zagadnień – jeśli jest to niezbędne do ustalenia stanu prawnego. </w:t>
      </w:r>
    </w:p>
    <w:p w:rsidR="004E59F4" w:rsidRDefault="004E59F4">
      <w:pPr>
        <w:spacing w:line="300" w:lineRule="auto"/>
        <w:jc w:val="both"/>
        <w:rPr>
          <w:rFonts w:ascii="Calibri" w:hAnsi="Calibri"/>
          <w:color w:val="000000"/>
          <w:sz w:val="24"/>
          <w:szCs w:val="24"/>
        </w:rPr>
      </w:pPr>
    </w:p>
    <w:p w:rsidR="004E59F4" w:rsidRDefault="004E59F4">
      <w:pPr>
        <w:spacing w:line="300" w:lineRule="auto"/>
        <w:jc w:val="both"/>
        <w:rPr>
          <w:rFonts w:ascii="Calibri" w:hAnsi="Calibri"/>
          <w:color w:val="000000"/>
          <w:sz w:val="24"/>
          <w:szCs w:val="24"/>
        </w:rPr>
      </w:pPr>
    </w:p>
    <w:p w:rsidR="004E59F4" w:rsidRDefault="00273D75">
      <w:pPr>
        <w:pStyle w:val="Nagwek1"/>
        <w:spacing w:before="0" w:after="340" w:line="300" w:lineRule="auto"/>
        <w:jc w:val="both"/>
      </w:pPr>
      <w:bookmarkStart w:id="3" w:name="__RefHeading___Toc4963_61956352"/>
      <w:bookmarkEnd w:id="3"/>
      <w:r>
        <w:rPr>
          <w:rFonts w:ascii="Calibri" w:hAnsi="Calibri"/>
          <w:color w:val="000000"/>
          <w:sz w:val="24"/>
          <w:szCs w:val="24"/>
        </w:rPr>
        <w:lastRenderedPageBreak/>
        <w:t>III. Stan faktyczny i stan prawny</w:t>
      </w:r>
    </w:p>
    <w:p w:rsidR="004E59F4" w:rsidRDefault="00273D75">
      <w:pPr>
        <w:spacing w:line="300" w:lineRule="auto"/>
        <w:jc w:val="both"/>
        <w:rPr>
          <w:rFonts w:ascii="Calibri" w:hAnsi="Calibri"/>
          <w:color w:val="000000"/>
          <w:sz w:val="24"/>
          <w:szCs w:val="24"/>
        </w:rPr>
      </w:pPr>
      <w:r>
        <w:rPr>
          <w:color w:val="000000"/>
          <w:sz w:val="24"/>
          <w:szCs w:val="24"/>
        </w:rPr>
        <w:t xml:space="preserve">Projekt pt. </w:t>
      </w:r>
      <w:r>
        <w:rPr>
          <w:i/>
          <w:iCs/>
          <w:color w:val="000000"/>
          <w:sz w:val="24"/>
          <w:szCs w:val="24"/>
        </w:rPr>
        <w:t>„Usługi indywidualnego transportu door-to-door oraz poprawa dostępności architektonicznej wielorodzinnych budynków mieszkalnych”</w:t>
      </w:r>
      <w:r>
        <w:rPr>
          <w:color w:val="000000"/>
          <w:sz w:val="24"/>
          <w:szCs w:val="24"/>
        </w:rPr>
        <w:t xml:space="preserve"> (Działanie 2.8 PO WER) jest realizowany od sierpnia 2019 r. Jednym z jego etapów jest przeprowadzenie konkursu grantowego dla jednostek samorządu terytorialnego. </w:t>
      </w:r>
    </w:p>
    <w:p w:rsidR="004E59F4" w:rsidRDefault="00273D75">
      <w:pPr>
        <w:spacing w:line="300" w:lineRule="auto"/>
        <w:jc w:val="both"/>
        <w:rPr>
          <w:rFonts w:ascii="Calibri" w:hAnsi="Calibri"/>
          <w:color w:val="000000"/>
          <w:sz w:val="24"/>
          <w:szCs w:val="24"/>
        </w:rPr>
      </w:pPr>
      <w:r>
        <w:rPr>
          <w:color w:val="000000"/>
          <w:sz w:val="24"/>
          <w:szCs w:val="24"/>
        </w:rPr>
        <w:t>Zgodnie z Regulaminem konkursu, do udziału w konkursie uprawnione są następujące jednostki samorządu terytorialnego (dalej - „JST”), „gminy, związki i porozumienia gmin, powiaty oraz związki i porozumienia powiatów”, w których nie występuje dotychczas usługa transportu door-to-door.</w:t>
      </w:r>
    </w:p>
    <w:p w:rsidR="004E59F4" w:rsidRDefault="00273D75">
      <w:pPr>
        <w:spacing w:line="300" w:lineRule="auto"/>
        <w:jc w:val="both"/>
      </w:pPr>
      <w:r>
        <w:rPr>
          <w:color w:val="000000"/>
          <w:sz w:val="24"/>
          <w:szCs w:val="24"/>
        </w:rPr>
        <w:t>Usługa door-to-door to usługa indywidualnego transportu osoby z potrzebą wsparcia w zakresie mobilności, obejmująca pomoc w wydostaniu się z mieszkania lub innego miejsca, przejazd i pomoc w dotarciu do miejsca docelowego. Pojęcie indywidualnego transportu obejmuje również sytuacje, w których z transportu korzysta w tym samym czasie – o ile pozwalają na to warunki pojazdu – kilka osób uprawnionych, jadąc z jednej wspólnej lokalizacji do wspólnego miejsca docelowego albo jadąc z kilku lokalizacji do wspólnego miejsca docelowego i z powrotem.</w:t>
      </w:r>
    </w:p>
    <w:p w:rsidR="004E59F4" w:rsidRDefault="00273D75">
      <w:pPr>
        <w:spacing w:line="300" w:lineRule="auto"/>
        <w:jc w:val="both"/>
      </w:pPr>
      <w:r>
        <w:rPr>
          <w:color w:val="000000"/>
          <w:sz w:val="24"/>
          <w:szCs w:val="24"/>
        </w:rPr>
        <w:t xml:space="preserve">W zakres pojęcia usługi door-to-door wchodzą zarówno usługi realizowane przy pomocy specjalistycznego pojazdu dostosowanego do przewożenia osób z niepełnosprawnościami, jak i pojazdu bez dostosowania, gdy rodzaj wsparcia w zakresie mobilności użytkownika/użytkowniczki nie wymaga przewozu specjalistycznym taborem. Usługi door-to-door będą kierowane w szczególności do osób, które potencjalnie mogą wejść/powrócić na rynek pracy. Zasadniczym elementem wsparcia w ramach usługi transportu door-to-door jest transport osoby z potrzebą wsparcia w zakresie mobilności z miejsca zamieszkania lub innego wskazanego miejsca do miejsca docelowego. Cel przejazdu w ramach usługi door-to-door powinien być powiązany z aktywizacją społeczno-zawodową osób z potrzebą wsparcia w zakresie mobilności (użytkowników/użytkowniczki). Potencjalnymi użytkownikami/ użytkowniczkami usług transportu door-to-door są osoby, które mają trudności w samodzielnym przemieszczaniu się np. ze względu na ograniczoną sprawność (w tym: poruszające się na wózkach, poruszające się o kulach, niewidome, słabowidzące i inne). Będą to zarówno osoby z potrzebą wsparcia w zakresie mobilności posiadające orzeczenie o niepełnosprawności lub orzeczenie o stopniu niepełnosprawności (lub równoważne), jak i osoby nieposiadające takiego orzeczenia (w szczególności osoby z trudnościami w poruszaniu się). Usługi door-to-door, finansowane w ramach Projektu PFRON, mają mieć na celu </w:t>
      </w:r>
      <w:r>
        <w:rPr>
          <w:color w:val="000000"/>
          <w:sz w:val="24"/>
          <w:szCs w:val="24"/>
        </w:rPr>
        <w:lastRenderedPageBreak/>
        <w:t>zaspokajanie potrzeb osób wymagających wsparcia w zakresie mobilności związanych z aktywizacją społeczno-zawodową oraz mają ułatwiać korzystanie z usług aktywnej integracji.</w:t>
      </w:r>
    </w:p>
    <w:p w:rsidR="004E59F4" w:rsidRDefault="00273D75">
      <w:pPr>
        <w:spacing w:line="300" w:lineRule="auto"/>
        <w:jc w:val="both"/>
      </w:pPr>
      <w:r>
        <w:rPr>
          <w:color w:val="000000"/>
          <w:sz w:val="24"/>
          <w:szCs w:val="24"/>
        </w:rPr>
        <w:t>W ramach konkursu finansowanie mogą uzyskać projekty zakładające uruchomienie ww. usługi oraz jako element uzupełniający – realizację usprawnień w częściach wspólnych wielorodzinnych budynków mieszkalnych.</w:t>
      </w:r>
    </w:p>
    <w:p w:rsidR="004E59F4" w:rsidRDefault="00273D75">
      <w:pPr>
        <w:spacing w:line="300" w:lineRule="auto"/>
        <w:jc w:val="both"/>
      </w:pPr>
      <w:r>
        <w:rPr>
          <w:color w:val="000000"/>
          <w:sz w:val="24"/>
          <w:szCs w:val="24"/>
        </w:rPr>
        <w:t xml:space="preserve">Z dotychczasowych informacji wynika, iż istnieją trzy modele świadczenia usług transportowych door-to-door przez JST: </w:t>
      </w:r>
    </w:p>
    <w:p w:rsidR="004E59F4" w:rsidRDefault="00273D75">
      <w:pPr>
        <w:numPr>
          <w:ilvl w:val="0"/>
          <w:numId w:val="3"/>
        </w:numPr>
        <w:spacing w:line="300" w:lineRule="auto"/>
        <w:jc w:val="both"/>
      </w:pPr>
      <w:r>
        <w:rPr>
          <w:color w:val="000000"/>
          <w:sz w:val="24"/>
          <w:szCs w:val="24"/>
        </w:rPr>
        <w:t>samodzielne świadczenie ww. usług przez JST lub spółkę komunalną;</w:t>
      </w:r>
    </w:p>
    <w:p w:rsidR="004E59F4" w:rsidRDefault="00273D75">
      <w:pPr>
        <w:numPr>
          <w:ilvl w:val="0"/>
          <w:numId w:val="3"/>
        </w:numPr>
        <w:spacing w:line="300" w:lineRule="auto"/>
        <w:jc w:val="both"/>
      </w:pPr>
      <w:r>
        <w:rPr>
          <w:color w:val="000000"/>
          <w:sz w:val="24"/>
          <w:szCs w:val="24"/>
        </w:rPr>
        <w:t xml:space="preserve">zlecenie usług door-to-door podmiotowi komercyjnemu; </w:t>
      </w:r>
    </w:p>
    <w:p w:rsidR="004E59F4" w:rsidRDefault="00273D75">
      <w:pPr>
        <w:numPr>
          <w:ilvl w:val="0"/>
          <w:numId w:val="3"/>
        </w:numPr>
        <w:spacing w:line="300" w:lineRule="auto"/>
        <w:jc w:val="both"/>
      </w:pPr>
      <w:r>
        <w:rPr>
          <w:color w:val="000000"/>
          <w:sz w:val="24"/>
          <w:szCs w:val="24"/>
        </w:rPr>
        <w:t xml:space="preserve">powierzenie usług door-to-door organizacji pożytku publicznego. </w:t>
      </w:r>
    </w:p>
    <w:p w:rsidR="004E59F4" w:rsidRDefault="004E59F4">
      <w:pPr>
        <w:spacing w:line="300" w:lineRule="auto"/>
        <w:ind w:left="974"/>
        <w:jc w:val="both"/>
        <w:rPr>
          <w:color w:val="000000"/>
          <w:sz w:val="10"/>
          <w:szCs w:val="10"/>
        </w:rPr>
      </w:pPr>
    </w:p>
    <w:p w:rsidR="004E59F4" w:rsidRDefault="00273D75">
      <w:pPr>
        <w:spacing w:line="300" w:lineRule="auto"/>
        <w:jc w:val="both"/>
      </w:pPr>
      <w:r>
        <w:rPr>
          <w:color w:val="000000"/>
          <w:sz w:val="24"/>
          <w:szCs w:val="24"/>
        </w:rPr>
        <w:t>W pierwszym modelu mamy do czynienia z dwoma możliwościami realizacji świadczenia usług transportowych door-to-door. Może to być:</w:t>
      </w:r>
    </w:p>
    <w:p w:rsidR="004E59F4" w:rsidRDefault="00273D75">
      <w:pPr>
        <w:spacing w:line="300" w:lineRule="auto"/>
        <w:jc w:val="both"/>
        <w:rPr>
          <w:rFonts w:ascii="Calibri" w:hAnsi="Calibri"/>
          <w:color w:val="000000"/>
          <w:sz w:val="24"/>
          <w:szCs w:val="24"/>
        </w:rPr>
      </w:pPr>
      <w:r>
        <w:rPr>
          <w:color w:val="000000"/>
          <w:sz w:val="24"/>
          <w:szCs w:val="24"/>
        </w:rPr>
        <w:t xml:space="preserve">    • realizacja usług własnymi siłami lub siłami własnych jednostek organizacyjnych;</w:t>
      </w:r>
    </w:p>
    <w:p w:rsidR="004E59F4" w:rsidRDefault="00273D75">
      <w:pPr>
        <w:spacing w:line="300" w:lineRule="auto"/>
        <w:jc w:val="both"/>
        <w:rPr>
          <w:rFonts w:ascii="Calibri" w:hAnsi="Calibri"/>
          <w:color w:val="000000"/>
          <w:sz w:val="24"/>
          <w:szCs w:val="24"/>
        </w:rPr>
      </w:pPr>
      <w:r>
        <w:rPr>
          <w:color w:val="000000"/>
          <w:sz w:val="24"/>
          <w:szCs w:val="24"/>
        </w:rPr>
        <w:t xml:space="preserve">    • poprzez zlecenie świadczenia usługi własnej spółce.</w:t>
      </w:r>
    </w:p>
    <w:p w:rsidR="004E59F4" w:rsidRDefault="004E59F4">
      <w:pPr>
        <w:spacing w:line="300" w:lineRule="auto"/>
        <w:jc w:val="both"/>
        <w:rPr>
          <w:color w:val="000000"/>
        </w:rPr>
      </w:pPr>
    </w:p>
    <w:p w:rsidR="004E59F4" w:rsidRDefault="00273D75">
      <w:pPr>
        <w:spacing w:line="300" w:lineRule="auto"/>
        <w:jc w:val="both"/>
      </w:pPr>
      <w:r>
        <w:rPr>
          <w:color w:val="000000"/>
          <w:sz w:val="24"/>
          <w:szCs w:val="24"/>
        </w:rPr>
        <w:t>W pierwszym przypadku mamy do czynienia z realizacją dodatkowego zadania w ramach już świadczonych usług (transport publiczny) poprzez wyodrębnioną w strukturze organizacyjnej JST wyspecjalizowaną jednostkę. W drugim przypadku, możliwość zlecenia świadczenia usług własnej spółce stwarza ustawa Prawo zamówień publicznych, tj. zamówienie in-</w:t>
      </w:r>
      <w:proofErr w:type="spellStart"/>
      <w:r>
        <w:rPr>
          <w:color w:val="000000"/>
          <w:sz w:val="24"/>
          <w:szCs w:val="24"/>
        </w:rPr>
        <w:t>house</w:t>
      </w:r>
      <w:proofErr w:type="spellEnd"/>
      <w:r>
        <w:rPr>
          <w:color w:val="000000"/>
          <w:sz w:val="24"/>
          <w:szCs w:val="24"/>
        </w:rPr>
        <w:t xml:space="preserve"> (art. 67 ust 1 </w:t>
      </w:r>
      <w:proofErr w:type="spellStart"/>
      <w:r>
        <w:rPr>
          <w:color w:val="000000"/>
          <w:sz w:val="24"/>
          <w:szCs w:val="24"/>
        </w:rPr>
        <w:t>Pzp</w:t>
      </w:r>
      <w:proofErr w:type="spellEnd"/>
      <w:r>
        <w:rPr>
          <w:color w:val="000000"/>
          <w:sz w:val="24"/>
          <w:szCs w:val="24"/>
        </w:rPr>
        <w:t xml:space="preserve"> pkt 12), 13) i 14)) lub powierzenie świadczenia usług publicznych (tj. realizacji zadania własnego - zaspokajanie potrzeb z zakresu lokalnego transportu zbiorowego) własnej spółce jako podmiotowi wewnętrznemu (w rozumieniu rozporządzenia (WE) Nr 1370/2007 Parlamentu Europejskiego i Rady z dnia 23 października 2007 r.). Takie rozwiązanie zastosowane zostało w Łodzi, bowiem wśród zadań MPK w umowie o świadczenie usług publicznych w ramach organizacji lokalnego transportu zbiorowego (2010 r.) wymieniono świadczenie przewozów osób niepełnosprawnych w systemie od drzwi – do – drzwi.</w:t>
      </w:r>
    </w:p>
    <w:p w:rsidR="004E59F4" w:rsidRDefault="00273D75">
      <w:pPr>
        <w:spacing w:line="300" w:lineRule="auto"/>
        <w:jc w:val="both"/>
      </w:pPr>
      <w:r>
        <w:rPr>
          <w:color w:val="000000"/>
          <w:sz w:val="24"/>
          <w:szCs w:val="24"/>
        </w:rPr>
        <w:t>Z ogólnodostępnych informacji wynika także, iż:</w:t>
      </w:r>
    </w:p>
    <w:p w:rsidR="004E59F4" w:rsidRDefault="00273D75">
      <w:pPr>
        <w:spacing w:line="300" w:lineRule="auto"/>
        <w:jc w:val="both"/>
      </w:pPr>
      <w:r>
        <w:rPr>
          <w:color w:val="000000"/>
          <w:sz w:val="24"/>
          <w:szCs w:val="24"/>
        </w:rPr>
        <w:t>- przy organizowaniu usług przewozowych dla osób niepełnosprawnych, na zadania własne gminy w zakresie transportu zbiorowego powołała się także m.in. Rada Miasta Szczecin w uchwale NR XXII/580/08 z dnia 19 maja 2008 r. w sprawie zasad świadczenia usług przewozowych dla osób niepełnosprawnych oraz pobierania opłat za te usługi. W uzasadnieniu do tej uchwały wskazano m.in., że</w:t>
      </w:r>
      <w:r>
        <w:rPr>
          <w:i/>
          <w:iCs/>
          <w:color w:val="000000"/>
          <w:sz w:val="24"/>
          <w:szCs w:val="24"/>
        </w:rPr>
        <w:t xml:space="preserve"> „MOPR świadczy usługi przewozowe dla osób niepełnosprawnych w ramach szeroko pojętego transportu zbiorowego (...) w celu dowiezienia osób niepełnosprawnych do szkół – poza obowiązkiem szkolnym, do ośrodków </w:t>
      </w:r>
      <w:r>
        <w:rPr>
          <w:i/>
          <w:iCs/>
          <w:color w:val="000000"/>
          <w:sz w:val="24"/>
          <w:szCs w:val="24"/>
        </w:rPr>
        <w:lastRenderedPageBreak/>
        <w:t>rehabilitacyjnych, zakładów pracy bądź innych miejsc zgodnie z indywidualnymi potrzebami osoby niepełnosprawnej”;</w:t>
      </w:r>
    </w:p>
    <w:p w:rsidR="004E59F4" w:rsidRDefault="00273D75">
      <w:pPr>
        <w:spacing w:line="300" w:lineRule="auto"/>
        <w:jc w:val="both"/>
      </w:pPr>
      <w:r>
        <w:rPr>
          <w:color w:val="000000"/>
          <w:sz w:val="24"/>
          <w:szCs w:val="24"/>
        </w:rPr>
        <w:t>- Rada Powiatu w Ostrołęce, w uchwale NR III/16/2015 z dnia 19 stycznia 2015 r. w sprawie ustalenia</w:t>
      </w:r>
      <w:r>
        <w:rPr>
          <w:i/>
          <w:iCs/>
          <w:color w:val="000000"/>
          <w:sz w:val="24"/>
          <w:szCs w:val="24"/>
        </w:rPr>
        <w:t xml:space="preserve"> "Regulaminu przewozu osób niepełnosprawnych przystosowanym do tego celu</w:t>
      </w:r>
    </w:p>
    <w:p w:rsidR="004E59F4" w:rsidRDefault="00273D75">
      <w:pPr>
        <w:spacing w:line="300" w:lineRule="auto"/>
        <w:jc w:val="both"/>
      </w:pPr>
      <w:r>
        <w:rPr>
          <w:i/>
          <w:iCs/>
          <w:color w:val="000000"/>
          <w:sz w:val="24"/>
          <w:szCs w:val="24"/>
        </w:rPr>
        <w:t xml:space="preserve">samochodem typu mikrobus na terenie powiatu ostrołęckiego" </w:t>
      </w:r>
      <w:r>
        <w:rPr>
          <w:color w:val="000000"/>
          <w:sz w:val="24"/>
          <w:szCs w:val="24"/>
        </w:rPr>
        <w:t xml:space="preserve">powołała się m.in. na zadania publiczne o charakterze ponadgminnym w zakresie wspierania osób niepełnosprawnych. </w:t>
      </w:r>
    </w:p>
    <w:p w:rsidR="004E59F4" w:rsidRDefault="004E59F4">
      <w:pPr>
        <w:spacing w:line="300" w:lineRule="auto"/>
        <w:jc w:val="both"/>
        <w:rPr>
          <w:rFonts w:ascii="Calibri" w:hAnsi="Calibri"/>
          <w:color w:val="000000"/>
          <w:sz w:val="14"/>
          <w:szCs w:val="14"/>
        </w:rPr>
      </w:pPr>
    </w:p>
    <w:p w:rsidR="004E59F4" w:rsidRDefault="00273D75">
      <w:pPr>
        <w:spacing w:line="300" w:lineRule="auto"/>
        <w:jc w:val="both"/>
      </w:pPr>
      <w:r>
        <w:rPr>
          <w:color w:val="000000"/>
          <w:sz w:val="24"/>
          <w:szCs w:val="24"/>
        </w:rPr>
        <w:t>Z kolei, w dwóch kolejnych modelach umowę przewozu z pasażerem zawiera podmiot komercyjny lub organizacja pozarządowa. W tych przypadkach nie będzie istniał stosunek prawny pomiędzy JST a pasażerem. Istnieje powiązanie prawne:</w:t>
      </w:r>
    </w:p>
    <w:p w:rsidR="004E59F4" w:rsidRDefault="00273D75">
      <w:pPr>
        <w:spacing w:line="300" w:lineRule="auto"/>
        <w:jc w:val="both"/>
      </w:pPr>
      <w:r>
        <w:rPr>
          <w:color w:val="000000"/>
          <w:sz w:val="24"/>
          <w:szCs w:val="24"/>
        </w:rPr>
        <w:t>a) podmiot komercyjny (organizacja pożytku publicznego) - pasażer;</w:t>
      </w:r>
    </w:p>
    <w:p w:rsidR="004E59F4" w:rsidRDefault="00273D75">
      <w:pPr>
        <w:spacing w:line="300" w:lineRule="auto"/>
        <w:jc w:val="both"/>
        <w:rPr>
          <w:rFonts w:ascii="Calibri" w:hAnsi="Calibri"/>
          <w:color w:val="000000"/>
          <w:sz w:val="24"/>
          <w:szCs w:val="24"/>
        </w:rPr>
      </w:pPr>
      <w:r>
        <w:rPr>
          <w:color w:val="000000"/>
          <w:sz w:val="24"/>
          <w:szCs w:val="24"/>
        </w:rPr>
        <w:t>b) podmiot komercyjny (organizacja pożytku publicznego) - JST.</w:t>
      </w:r>
    </w:p>
    <w:p w:rsidR="004E59F4" w:rsidRDefault="004E59F4">
      <w:pPr>
        <w:spacing w:line="300" w:lineRule="auto"/>
        <w:jc w:val="both"/>
        <w:rPr>
          <w:color w:val="000000"/>
        </w:rPr>
      </w:pPr>
    </w:p>
    <w:p w:rsidR="004E59F4" w:rsidRDefault="00273D75">
      <w:pPr>
        <w:spacing w:line="300" w:lineRule="auto"/>
        <w:jc w:val="both"/>
      </w:pPr>
      <w:r>
        <w:rPr>
          <w:color w:val="000000"/>
          <w:sz w:val="24"/>
          <w:szCs w:val="24"/>
        </w:rPr>
        <w:t>Dochód ze świadczenia usług transportowych miałby być zwracany na rachunek danej JST, tj. jeśli pasażerowie (użytkownicy) mieliby uiszczać opłaty, to podmiot komercyjny lub organizacja pożytku publicznego odprowadzaliby je na rachunek JST.</w:t>
      </w:r>
    </w:p>
    <w:p w:rsidR="004E59F4" w:rsidRDefault="00273D75">
      <w:pPr>
        <w:spacing w:line="300" w:lineRule="auto"/>
        <w:jc w:val="both"/>
      </w:pPr>
      <w:r>
        <w:rPr>
          <w:color w:val="000000"/>
          <w:sz w:val="24"/>
          <w:szCs w:val="24"/>
        </w:rPr>
        <w:t xml:space="preserve">W każdym przypadku pasażer uczestnicząc w projekcie podpisuje oświadczenie, potwierdzające spełnienie kryterium dostępu oraz świadomości uczestnictwa w projekcie finansowanym przez PFRON i realizowanym przez daną JST. </w:t>
      </w:r>
    </w:p>
    <w:p w:rsidR="004E59F4" w:rsidRDefault="004E59F4">
      <w:pPr>
        <w:spacing w:line="300" w:lineRule="auto"/>
        <w:jc w:val="both"/>
        <w:rPr>
          <w:color w:val="000000"/>
        </w:rPr>
      </w:pPr>
    </w:p>
    <w:p w:rsidR="004E59F4" w:rsidRDefault="00273D75">
      <w:pPr>
        <w:spacing w:line="300" w:lineRule="auto"/>
        <w:jc w:val="both"/>
      </w:pPr>
      <w:r>
        <w:rPr>
          <w:color w:val="000000"/>
          <w:sz w:val="24"/>
          <w:szCs w:val="24"/>
        </w:rPr>
        <w:t xml:space="preserve">Powyższe modele zaprezentowano w udostępnionym przez PFRON opracowaniu pt. </w:t>
      </w:r>
      <w:r>
        <w:rPr>
          <w:i/>
          <w:iCs/>
          <w:color w:val="000000"/>
          <w:sz w:val="24"/>
          <w:szCs w:val="24"/>
        </w:rPr>
        <w:t>„Zestawienie prezentujące dotychczas stosowane w Polsce modele usługi door-to-door”.</w:t>
      </w:r>
    </w:p>
    <w:p w:rsidR="004E59F4" w:rsidRDefault="00273D75">
      <w:pPr>
        <w:spacing w:line="300" w:lineRule="auto"/>
        <w:jc w:val="both"/>
      </w:pPr>
      <w:r>
        <w:rPr>
          <w:color w:val="000000"/>
          <w:sz w:val="24"/>
          <w:szCs w:val="24"/>
        </w:rPr>
        <w:t>Z opracowania tego wynika ponadto, iż:</w:t>
      </w:r>
    </w:p>
    <w:p w:rsidR="004E59F4" w:rsidRDefault="00273D75">
      <w:pPr>
        <w:spacing w:line="300" w:lineRule="auto"/>
        <w:jc w:val="both"/>
      </w:pPr>
      <w:r>
        <w:rPr>
          <w:color w:val="000000"/>
          <w:sz w:val="24"/>
          <w:szCs w:val="24"/>
        </w:rPr>
        <w:t>- zlecanie usług transportu podmiotom zewnętrznym było najczęściej wybieraną możliwością;</w:t>
      </w:r>
    </w:p>
    <w:p w:rsidR="004E59F4" w:rsidRDefault="00273D75">
      <w:pPr>
        <w:spacing w:line="300" w:lineRule="auto"/>
        <w:jc w:val="both"/>
      </w:pPr>
      <w:r>
        <w:rPr>
          <w:color w:val="000000"/>
          <w:sz w:val="24"/>
          <w:szCs w:val="24"/>
        </w:rPr>
        <w:t>- zasady świadczenia usług w przypadku stosowania modelu polegającego na zlecaniu usług podmiotom zewnętrznym w drodze postępowania publicznego nie różnią się istotnie od Modelu 1, zwłaszcza w tych sytuacjach, kiedy samodzielne świadczenie usług przez JST polega na ich wykonywaniu przez przedsiębiorstwo komunalne;</w:t>
      </w:r>
    </w:p>
    <w:p w:rsidR="004E59F4" w:rsidRDefault="00273D75">
      <w:pPr>
        <w:spacing w:line="300" w:lineRule="auto"/>
        <w:jc w:val="both"/>
      </w:pPr>
      <w:r>
        <w:rPr>
          <w:color w:val="000000"/>
          <w:sz w:val="24"/>
          <w:szCs w:val="24"/>
        </w:rPr>
        <w:t>- Zlecanie usługi transportowej organizacji pozarządowej w oparciu o procedury z ustawy o działalności pożytku publicznego i o wolontariacie jest relatywnie najrzadziej stosowanym modelem świadczenia tego rodzaju usług. W zależności od przyjętych przez JST założeń użytkownicy albo nie płacą za usługę, albo ponoszą część kosztów w wysokości uzależnionej od sytuacji danej osoby z niepełnosprawnością.</w:t>
      </w:r>
    </w:p>
    <w:p w:rsidR="004E59F4" w:rsidRDefault="00273D75">
      <w:pPr>
        <w:spacing w:line="300" w:lineRule="auto"/>
        <w:jc w:val="both"/>
      </w:pPr>
      <w:r>
        <w:rPr>
          <w:color w:val="000000"/>
          <w:sz w:val="24"/>
          <w:szCs w:val="24"/>
        </w:rPr>
        <w:t xml:space="preserve">Finansowanie ww. usług transportowych w projektach grantowych może, w zależności od wybranego przez samorządy modelu ich świadczenia, objąć np. zakup pojazdu dostosowanego </w:t>
      </w:r>
      <w:r>
        <w:rPr>
          <w:color w:val="000000"/>
          <w:sz w:val="24"/>
          <w:szCs w:val="24"/>
        </w:rPr>
        <w:lastRenderedPageBreak/>
        <w:t xml:space="preserve">do przewozu osób z potrzebami wsparcia w zakresie mobilności, koszty zatrudnienia kierowcy i innych pracowników zaangażowanych w świadczenie usługi, koszty eksploatacji samochodu wynikające ze świadczenia usługi, albo koszt usług door-to-door świadczonych przez wybrany przez samorząd podmiot zewnętrzny, firmę lub organizację, wyłonioną z zastosowaniem odpowiedniej procedury. </w:t>
      </w:r>
    </w:p>
    <w:p w:rsidR="004E59F4" w:rsidRDefault="00273D75">
      <w:pPr>
        <w:spacing w:line="300" w:lineRule="auto"/>
        <w:jc w:val="both"/>
        <w:rPr>
          <w:rFonts w:ascii="Calibri" w:hAnsi="Calibri"/>
          <w:color w:val="000000"/>
          <w:sz w:val="24"/>
          <w:szCs w:val="24"/>
        </w:rPr>
      </w:pPr>
      <w:r>
        <w:rPr>
          <w:color w:val="000000"/>
          <w:sz w:val="24"/>
          <w:szCs w:val="24"/>
        </w:rPr>
        <w:t>Zgodnie ze wstępnymi założeniami projektu, dotyczącymi konkursu grantowego, usługi door-to-door muszą spełniać m.in. następujące warunki:</w:t>
      </w:r>
    </w:p>
    <w:p w:rsidR="004E59F4" w:rsidRDefault="00273D75">
      <w:pPr>
        <w:numPr>
          <w:ilvl w:val="0"/>
          <w:numId w:val="4"/>
        </w:numPr>
        <w:spacing w:line="300" w:lineRule="auto"/>
        <w:jc w:val="both"/>
        <w:rPr>
          <w:rFonts w:ascii="Calibri" w:hAnsi="Calibri"/>
          <w:color w:val="000000"/>
          <w:sz w:val="24"/>
          <w:szCs w:val="24"/>
        </w:rPr>
      </w:pPr>
      <w:r>
        <w:rPr>
          <w:color w:val="000000"/>
          <w:sz w:val="24"/>
          <w:szCs w:val="24"/>
        </w:rPr>
        <w:t>być przystępne cenowo dla osób korzystających (osób z potrzebą wsparcia w zakresie mobilności);</w:t>
      </w:r>
    </w:p>
    <w:p w:rsidR="004E59F4" w:rsidRDefault="00273D75">
      <w:pPr>
        <w:numPr>
          <w:ilvl w:val="0"/>
          <w:numId w:val="4"/>
        </w:numPr>
        <w:spacing w:line="300" w:lineRule="auto"/>
        <w:jc w:val="both"/>
        <w:rPr>
          <w:rFonts w:ascii="Calibri" w:hAnsi="Calibri"/>
          <w:color w:val="000000"/>
          <w:sz w:val="24"/>
          <w:szCs w:val="24"/>
        </w:rPr>
      </w:pPr>
      <w:r>
        <w:rPr>
          <w:color w:val="000000"/>
          <w:sz w:val="24"/>
          <w:szCs w:val="24"/>
        </w:rPr>
        <w:t>być kierowane w szczególności do osób, które potencjalnie mogą wejść/powrócić na rynek pracy.</w:t>
      </w:r>
    </w:p>
    <w:p w:rsidR="004E59F4" w:rsidRDefault="004E59F4">
      <w:pPr>
        <w:spacing w:line="300" w:lineRule="auto"/>
        <w:jc w:val="both"/>
        <w:rPr>
          <w:rFonts w:ascii="Calibri" w:hAnsi="Calibri"/>
          <w:color w:val="000000"/>
          <w:sz w:val="10"/>
          <w:szCs w:val="10"/>
        </w:rPr>
      </w:pPr>
    </w:p>
    <w:p w:rsidR="004E59F4" w:rsidRDefault="00273D75">
      <w:pPr>
        <w:spacing w:line="300" w:lineRule="auto"/>
        <w:jc w:val="both"/>
        <w:rPr>
          <w:rFonts w:ascii="Calibri" w:hAnsi="Calibri"/>
          <w:color w:val="000000"/>
          <w:sz w:val="24"/>
          <w:szCs w:val="24"/>
        </w:rPr>
      </w:pPr>
      <w:r>
        <w:rPr>
          <w:color w:val="000000"/>
          <w:sz w:val="24"/>
          <w:szCs w:val="24"/>
        </w:rPr>
        <w:t xml:space="preserve">Użytkownik/użytkowniczka usługi musi mieć precyzyjne informacje, czy przejazd w ramach usługi door-to-door jest odpłatny, a jeżeli tak to: jaka jest wysokość opłat (informacja o wysokości opłaty powinna być również umieszczona w widocznym miejscu w pojeździe) oraz jaki jest sposób wnoszenia opłat (płatność z góry czy po realizacji kursu, bezpośrednio w pojeździe czy również dopuszczalne się inne formy płatności), oraz czy użytkownikowi/użytkowniczce zostanie wydane potwierdzenie zapłaty. </w:t>
      </w:r>
    </w:p>
    <w:p w:rsidR="004E59F4" w:rsidRDefault="004E59F4">
      <w:pPr>
        <w:spacing w:line="300" w:lineRule="auto"/>
        <w:jc w:val="both"/>
        <w:rPr>
          <w:rFonts w:ascii="Calibri" w:hAnsi="Calibri"/>
          <w:color w:val="000000"/>
          <w:sz w:val="12"/>
          <w:szCs w:val="12"/>
        </w:rPr>
      </w:pPr>
    </w:p>
    <w:p w:rsidR="004E59F4" w:rsidRDefault="00273D75">
      <w:pPr>
        <w:spacing w:line="300" w:lineRule="auto"/>
        <w:jc w:val="both"/>
      </w:pPr>
      <w:r>
        <w:rPr>
          <w:color w:val="000000"/>
          <w:sz w:val="24"/>
          <w:szCs w:val="24"/>
        </w:rPr>
        <w:t xml:space="preserve">W przypadku przyjęcia przez jednostkę samorządu terytorialnego obowiązkowej współpłatności za usługi, wysokość opłat powinna być współmierna do wysokości kosztów realizacji usług transportu door-to-door. Jednostka samorządu terytorialnego powinna dokonać symulacji takich kosztów. Podstawowymi czynnikami determinującymi koszty transportu door-to-door są: </w:t>
      </w:r>
    </w:p>
    <w:p w:rsidR="004E59F4" w:rsidRDefault="00273D75">
      <w:pPr>
        <w:numPr>
          <w:ilvl w:val="0"/>
          <w:numId w:val="5"/>
        </w:numPr>
        <w:spacing w:line="300" w:lineRule="auto"/>
        <w:jc w:val="both"/>
        <w:rPr>
          <w:rFonts w:ascii="Calibri" w:hAnsi="Calibri"/>
          <w:color w:val="000000"/>
          <w:sz w:val="24"/>
          <w:szCs w:val="24"/>
        </w:rPr>
      </w:pPr>
      <w:r>
        <w:rPr>
          <w:color w:val="000000"/>
          <w:sz w:val="24"/>
          <w:szCs w:val="24"/>
        </w:rPr>
        <w:t>liczebność załogi pojazdu;</w:t>
      </w:r>
    </w:p>
    <w:p w:rsidR="004E59F4" w:rsidRDefault="00273D75">
      <w:pPr>
        <w:numPr>
          <w:ilvl w:val="0"/>
          <w:numId w:val="5"/>
        </w:numPr>
        <w:spacing w:line="300" w:lineRule="auto"/>
        <w:jc w:val="both"/>
        <w:rPr>
          <w:rFonts w:ascii="Calibri" w:hAnsi="Calibri"/>
          <w:color w:val="000000"/>
          <w:sz w:val="24"/>
          <w:szCs w:val="24"/>
        </w:rPr>
      </w:pPr>
      <w:r>
        <w:rPr>
          <w:color w:val="000000"/>
          <w:sz w:val="24"/>
          <w:szCs w:val="24"/>
        </w:rPr>
        <w:t>długość przejazdu (np. stała opłata na terenie powiatu/gminy, w pozostałych przypadkach stawka za kilometr);</w:t>
      </w:r>
    </w:p>
    <w:p w:rsidR="004E59F4" w:rsidRDefault="00273D75">
      <w:pPr>
        <w:numPr>
          <w:ilvl w:val="0"/>
          <w:numId w:val="5"/>
        </w:numPr>
        <w:spacing w:line="300" w:lineRule="auto"/>
        <w:jc w:val="both"/>
        <w:rPr>
          <w:rFonts w:ascii="Calibri" w:hAnsi="Calibri"/>
          <w:color w:val="000000"/>
          <w:sz w:val="24"/>
          <w:szCs w:val="24"/>
        </w:rPr>
      </w:pPr>
      <w:r>
        <w:rPr>
          <w:color w:val="000000"/>
          <w:sz w:val="24"/>
          <w:szCs w:val="24"/>
        </w:rPr>
        <w:t>region kraju (ceny w dużych miastach co do zasady są znacznie wyższe, niż na terenach miejsko-wiejskich);</w:t>
      </w:r>
    </w:p>
    <w:p w:rsidR="004E59F4" w:rsidRDefault="00273D75">
      <w:pPr>
        <w:numPr>
          <w:ilvl w:val="0"/>
          <w:numId w:val="5"/>
        </w:numPr>
        <w:spacing w:line="300" w:lineRule="auto"/>
        <w:jc w:val="both"/>
        <w:rPr>
          <w:rFonts w:ascii="Calibri" w:hAnsi="Calibri"/>
          <w:color w:val="000000"/>
          <w:sz w:val="24"/>
          <w:szCs w:val="24"/>
        </w:rPr>
      </w:pPr>
      <w:r>
        <w:rPr>
          <w:color w:val="000000"/>
          <w:sz w:val="24"/>
          <w:szCs w:val="24"/>
        </w:rPr>
        <w:t>wielkość pojazdu, mająca wpływ na zużycie paliwa i koszty przeglądów;</w:t>
      </w:r>
    </w:p>
    <w:p w:rsidR="004E59F4" w:rsidRDefault="00273D75">
      <w:pPr>
        <w:numPr>
          <w:ilvl w:val="0"/>
          <w:numId w:val="5"/>
        </w:numPr>
        <w:spacing w:line="300" w:lineRule="auto"/>
        <w:jc w:val="both"/>
        <w:rPr>
          <w:rFonts w:ascii="Calibri" w:hAnsi="Calibri"/>
          <w:color w:val="000000"/>
          <w:sz w:val="24"/>
          <w:szCs w:val="24"/>
        </w:rPr>
      </w:pPr>
      <w:r>
        <w:rPr>
          <w:color w:val="000000"/>
          <w:sz w:val="24"/>
          <w:szCs w:val="24"/>
        </w:rPr>
        <w:t>koszty działania firmy przewozowej;</w:t>
      </w:r>
    </w:p>
    <w:p w:rsidR="004E59F4" w:rsidRDefault="00273D75">
      <w:pPr>
        <w:numPr>
          <w:ilvl w:val="0"/>
          <w:numId w:val="5"/>
        </w:numPr>
        <w:spacing w:line="300" w:lineRule="auto"/>
        <w:jc w:val="both"/>
        <w:rPr>
          <w:rFonts w:ascii="Calibri" w:hAnsi="Calibri"/>
          <w:color w:val="000000"/>
          <w:sz w:val="24"/>
          <w:szCs w:val="24"/>
        </w:rPr>
      </w:pPr>
      <w:r>
        <w:rPr>
          <w:color w:val="000000"/>
          <w:sz w:val="24"/>
          <w:szCs w:val="24"/>
        </w:rPr>
        <w:t>konkurencja na rynku firm świadczących usługi przewozowe;</w:t>
      </w:r>
    </w:p>
    <w:p w:rsidR="004E59F4" w:rsidRDefault="00273D75">
      <w:pPr>
        <w:numPr>
          <w:ilvl w:val="0"/>
          <w:numId w:val="5"/>
        </w:numPr>
        <w:spacing w:line="300" w:lineRule="auto"/>
        <w:jc w:val="both"/>
        <w:rPr>
          <w:rFonts w:ascii="Calibri" w:hAnsi="Calibri"/>
          <w:color w:val="000000"/>
          <w:sz w:val="24"/>
          <w:szCs w:val="24"/>
        </w:rPr>
      </w:pPr>
      <w:r>
        <w:rPr>
          <w:color w:val="000000"/>
          <w:sz w:val="24"/>
          <w:szCs w:val="24"/>
        </w:rPr>
        <w:t>liczba posiadanych pojazdów przez podmiot realizujący usługę;</w:t>
      </w:r>
    </w:p>
    <w:p w:rsidR="004E59F4" w:rsidRDefault="00273D75">
      <w:pPr>
        <w:numPr>
          <w:ilvl w:val="0"/>
          <w:numId w:val="5"/>
        </w:numPr>
        <w:spacing w:line="300" w:lineRule="auto"/>
        <w:jc w:val="both"/>
        <w:rPr>
          <w:rFonts w:ascii="Calibri" w:hAnsi="Calibri"/>
          <w:color w:val="000000"/>
          <w:sz w:val="24"/>
          <w:szCs w:val="24"/>
        </w:rPr>
      </w:pPr>
      <w:r>
        <w:rPr>
          <w:color w:val="000000"/>
          <w:sz w:val="24"/>
          <w:szCs w:val="24"/>
        </w:rPr>
        <w:t xml:space="preserve">miejsce zamieszkania obsługiwanych użytkowników/użytkowniczek; </w:t>
      </w:r>
    </w:p>
    <w:p w:rsidR="004E59F4" w:rsidRDefault="00273D75">
      <w:pPr>
        <w:numPr>
          <w:ilvl w:val="0"/>
          <w:numId w:val="5"/>
        </w:numPr>
        <w:spacing w:line="300" w:lineRule="auto"/>
        <w:jc w:val="both"/>
        <w:rPr>
          <w:rFonts w:ascii="Calibri" w:hAnsi="Calibri"/>
          <w:color w:val="000000"/>
          <w:sz w:val="24"/>
          <w:szCs w:val="24"/>
        </w:rPr>
      </w:pPr>
      <w:r>
        <w:rPr>
          <w:color w:val="000000"/>
          <w:sz w:val="24"/>
          <w:szCs w:val="24"/>
        </w:rPr>
        <w:t>wielkość popytu na daną usługę i liczba podmiotów świadczących usługi;</w:t>
      </w:r>
    </w:p>
    <w:p w:rsidR="004E59F4" w:rsidRDefault="00273D75">
      <w:pPr>
        <w:numPr>
          <w:ilvl w:val="0"/>
          <w:numId w:val="5"/>
        </w:numPr>
        <w:spacing w:line="300" w:lineRule="auto"/>
        <w:jc w:val="both"/>
        <w:rPr>
          <w:rFonts w:ascii="Calibri" w:hAnsi="Calibri"/>
          <w:color w:val="000000"/>
          <w:sz w:val="24"/>
          <w:szCs w:val="24"/>
        </w:rPr>
      </w:pPr>
      <w:r>
        <w:rPr>
          <w:color w:val="000000"/>
          <w:sz w:val="24"/>
          <w:szCs w:val="24"/>
        </w:rPr>
        <w:lastRenderedPageBreak/>
        <w:t>czas realizacji zamówienia od momentu zgłoszenia się użytkownika/użytkowniczki do rozpoczęcia realizacji usługi przewozowej;</w:t>
      </w:r>
    </w:p>
    <w:p w:rsidR="004E59F4" w:rsidRDefault="00273D75">
      <w:pPr>
        <w:numPr>
          <w:ilvl w:val="0"/>
          <w:numId w:val="5"/>
        </w:numPr>
        <w:spacing w:line="300" w:lineRule="auto"/>
        <w:jc w:val="both"/>
        <w:rPr>
          <w:rFonts w:ascii="Calibri" w:hAnsi="Calibri"/>
          <w:color w:val="000000"/>
          <w:sz w:val="24"/>
          <w:szCs w:val="24"/>
        </w:rPr>
      </w:pPr>
      <w:r>
        <w:rPr>
          <w:color w:val="000000"/>
          <w:sz w:val="24"/>
          <w:szCs w:val="24"/>
        </w:rPr>
        <w:t>zasady ponoszenia opłaty za kurs (lub jej części) w przypadku rezygnacji z usługi przez użytkownika/użytkowniczkę;</w:t>
      </w:r>
    </w:p>
    <w:p w:rsidR="004E59F4" w:rsidRDefault="00273D75">
      <w:pPr>
        <w:numPr>
          <w:ilvl w:val="0"/>
          <w:numId w:val="5"/>
        </w:numPr>
        <w:spacing w:line="300" w:lineRule="auto"/>
        <w:jc w:val="both"/>
        <w:rPr>
          <w:rFonts w:ascii="Calibri" w:hAnsi="Calibri"/>
          <w:color w:val="000000"/>
          <w:sz w:val="24"/>
          <w:szCs w:val="24"/>
        </w:rPr>
      </w:pPr>
      <w:r>
        <w:rPr>
          <w:color w:val="000000"/>
          <w:sz w:val="24"/>
          <w:szCs w:val="24"/>
        </w:rPr>
        <w:t>możliwość korzystania z usług w porze nocnej i w dni wolne od pracy.</w:t>
      </w:r>
    </w:p>
    <w:p w:rsidR="004E59F4" w:rsidRDefault="004E59F4">
      <w:pPr>
        <w:spacing w:line="300" w:lineRule="auto"/>
        <w:jc w:val="both"/>
        <w:rPr>
          <w:rFonts w:ascii="Calibri" w:hAnsi="Calibri"/>
          <w:color w:val="000000"/>
          <w:sz w:val="12"/>
          <w:szCs w:val="12"/>
        </w:rPr>
      </w:pPr>
    </w:p>
    <w:p w:rsidR="004E59F4" w:rsidRDefault="00273D75">
      <w:pPr>
        <w:spacing w:line="300" w:lineRule="auto"/>
        <w:jc w:val="both"/>
      </w:pPr>
      <w:r>
        <w:rPr>
          <w:color w:val="000000"/>
          <w:sz w:val="24"/>
          <w:szCs w:val="24"/>
        </w:rPr>
        <w:t>W przypadku zaplanowania przez jednostkę samorządu terytorialnego pobierania opłat za usługi transportowe door-to-door, jednostka będzie rozliczała te środki jako dochód uzyskany w wyniku realizacji projektu. Dochód ten będzie podlegał zwrotowi na konto wskazane przez PFRON po zakończeniu realizacji projektu grantowego. Dopuszczalna jest sytuacja, gdy opłaty będą pobierane przez JST dopiero po zakończeniu realizacji projektu, w okresie jego trwałości (nawet w sytuacji braku ich pobierania w okresie realizacji projektu) - wówczas nie podlegają one zwrotowi.</w:t>
      </w:r>
    </w:p>
    <w:p w:rsidR="004E59F4" w:rsidRDefault="004E59F4">
      <w:pPr>
        <w:spacing w:line="300" w:lineRule="auto"/>
        <w:jc w:val="both"/>
        <w:rPr>
          <w:rFonts w:ascii="Calibri" w:hAnsi="Calibri"/>
          <w:color w:val="000000"/>
          <w:sz w:val="12"/>
          <w:szCs w:val="12"/>
        </w:rPr>
      </w:pPr>
    </w:p>
    <w:p w:rsidR="004E59F4" w:rsidRDefault="00273D75">
      <w:pPr>
        <w:spacing w:line="300" w:lineRule="auto"/>
        <w:jc w:val="both"/>
      </w:pPr>
      <w:r>
        <w:rPr>
          <w:color w:val="000000"/>
          <w:sz w:val="24"/>
          <w:szCs w:val="24"/>
        </w:rPr>
        <w:t xml:space="preserve">Wydatkami kwalifikowalnymi w ramach świadczenia usług transportowych door-to-door są </w:t>
      </w:r>
      <w:r>
        <w:rPr>
          <w:color w:val="000000"/>
          <w:sz w:val="24"/>
          <w:szCs w:val="24"/>
        </w:rPr>
        <w:br/>
        <w:t>w szczególności wydatki na:</w:t>
      </w:r>
    </w:p>
    <w:p w:rsidR="004E59F4" w:rsidRDefault="00273D75">
      <w:pPr>
        <w:spacing w:line="300" w:lineRule="auto"/>
        <w:jc w:val="both"/>
      </w:pPr>
      <w:r>
        <w:rPr>
          <w:color w:val="000000"/>
          <w:sz w:val="24"/>
          <w:szCs w:val="24"/>
        </w:rPr>
        <w:t>1) zakup pojazdu dostosowanego do przewożenia osób z potrzebą wsparcia w zakresie mobilności,</w:t>
      </w:r>
    </w:p>
    <w:p w:rsidR="004E59F4" w:rsidRDefault="00273D75">
      <w:pPr>
        <w:spacing w:line="300" w:lineRule="auto"/>
        <w:jc w:val="both"/>
      </w:pPr>
      <w:r>
        <w:rPr>
          <w:color w:val="000000"/>
          <w:sz w:val="24"/>
          <w:szCs w:val="24"/>
        </w:rPr>
        <w:t xml:space="preserve">2) zakup i montaż wyposażenia pojazdu w celu dostosowania go do przewożenia osób </w:t>
      </w:r>
      <w:r>
        <w:rPr>
          <w:color w:val="000000"/>
          <w:sz w:val="24"/>
          <w:szCs w:val="24"/>
        </w:rPr>
        <w:br/>
        <w:t>z potrzebą wsparcia w zakresie mobilności,</w:t>
      </w:r>
    </w:p>
    <w:p w:rsidR="004E59F4" w:rsidRDefault="00273D75">
      <w:pPr>
        <w:spacing w:line="300" w:lineRule="auto"/>
        <w:jc w:val="both"/>
      </w:pPr>
      <w:r>
        <w:rPr>
          <w:color w:val="000000"/>
          <w:sz w:val="24"/>
          <w:szCs w:val="24"/>
        </w:rPr>
        <w:t>3) leasing (w formach opisanych w Wytycznych w zakresie kwalifikowalności wydatków) pojazdu dostosowanego do przewożenia osób z potrzebą wsparcia w zakresie mobilności,</w:t>
      </w:r>
    </w:p>
    <w:p w:rsidR="004E59F4" w:rsidRDefault="00273D75">
      <w:pPr>
        <w:spacing w:line="300" w:lineRule="auto"/>
        <w:jc w:val="both"/>
      </w:pPr>
      <w:r>
        <w:rPr>
          <w:color w:val="000000"/>
          <w:sz w:val="24"/>
          <w:szCs w:val="24"/>
        </w:rPr>
        <w:t>4) koszty serwisu samochodu/samochodów i paliwa używanego do realizacji usług transportowych door-to-door,</w:t>
      </w:r>
    </w:p>
    <w:p w:rsidR="004E59F4" w:rsidRDefault="00273D75">
      <w:pPr>
        <w:spacing w:line="300" w:lineRule="auto"/>
        <w:jc w:val="both"/>
      </w:pPr>
      <w:r>
        <w:rPr>
          <w:color w:val="000000"/>
          <w:sz w:val="24"/>
          <w:szCs w:val="24"/>
        </w:rPr>
        <w:t>5) zakup usług transportowych door-to-door u podmiotów zewnętrznych,</w:t>
      </w:r>
    </w:p>
    <w:p w:rsidR="004E59F4" w:rsidRDefault="00273D75">
      <w:pPr>
        <w:spacing w:line="300" w:lineRule="auto"/>
        <w:jc w:val="both"/>
      </w:pPr>
      <w:r>
        <w:rPr>
          <w:color w:val="000000"/>
          <w:sz w:val="24"/>
          <w:szCs w:val="24"/>
        </w:rPr>
        <w:t>6) koszty wynagrodzenia personelu merytorycznego związanego z realizacją usług transportowych door-to-door, w tym kierowca/asystent,</w:t>
      </w:r>
    </w:p>
    <w:p w:rsidR="004E59F4" w:rsidRDefault="00273D75">
      <w:pPr>
        <w:spacing w:line="300" w:lineRule="auto"/>
        <w:jc w:val="both"/>
      </w:pPr>
      <w:r>
        <w:rPr>
          <w:color w:val="000000"/>
          <w:sz w:val="24"/>
          <w:szCs w:val="24"/>
        </w:rPr>
        <w:t>7) koszty opracowania lub zakupu aplikacji internetowej do zamawiania i monitorowania przejazdów,</w:t>
      </w:r>
    </w:p>
    <w:p w:rsidR="004E59F4" w:rsidRDefault="00273D75">
      <w:pPr>
        <w:spacing w:line="300" w:lineRule="auto"/>
        <w:jc w:val="both"/>
      </w:pPr>
      <w:r>
        <w:rPr>
          <w:color w:val="000000"/>
          <w:sz w:val="24"/>
          <w:szCs w:val="24"/>
        </w:rPr>
        <w:t>8) zakup i montaż stacji dokujących dla samochodów elektrycznych,</w:t>
      </w:r>
    </w:p>
    <w:p w:rsidR="004E59F4" w:rsidRDefault="00273D75">
      <w:pPr>
        <w:spacing w:line="300" w:lineRule="auto"/>
        <w:jc w:val="both"/>
      </w:pPr>
      <w:r>
        <w:rPr>
          <w:color w:val="000000"/>
          <w:sz w:val="24"/>
          <w:szCs w:val="24"/>
        </w:rPr>
        <w:t xml:space="preserve">9) koszty ubezpieczenia osób wspierających użytkowników i użytkowniczki w dotarciu do </w:t>
      </w:r>
      <w:r>
        <w:rPr>
          <w:color w:val="000000"/>
          <w:sz w:val="24"/>
          <w:szCs w:val="24"/>
        </w:rPr>
        <w:br/>
        <w:t>i z pojazdu,</w:t>
      </w:r>
    </w:p>
    <w:p w:rsidR="004E59F4" w:rsidRDefault="00273D75">
      <w:pPr>
        <w:spacing w:line="300" w:lineRule="auto"/>
        <w:jc w:val="both"/>
      </w:pPr>
      <w:r>
        <w:rPr>
          <w:color w:val="000000"/>
          <w:sz w:val="24"/>
          <w:szCs w:val="24"/>
        </w:rPr>
        <w:t>10) koszty niezbędnych szkoleń dla kierowców i asystentów.</w:t>
      </w:r>
    </w:p>
    <w:p w:rsidR="004E59F4" w:rsidRDefault="00273D75">
      <w:pPr>
        <w:spacing w:line="300" w:lineRule="auto"/>
        <w:jc w:val="both"/>
      </w:pPr>
      <w:r>
        <w:rPr>
          <w:color w:val="000000"/>
          <w:sz w:val="24"/>
          <w:szCs w:val="24"/>
        </w:rPr>
        <w:t xml:space="preserve">Koszty rozliczane są na podstawie rzeczywiście poniesionych wydatków. Wszystkie wydatki muszą być uzasadnione i uwzględnione w budżecie projektu. Przy rozliczaniu poniesionych </w:t>
      </w:r>
      <w:r>
        <w:rPr>
          <w:color w:val="000000"/>
          <w:sz w:val="24"/>
          <w:szCs w:val="24"/>
        </w:rPr>
        <w:lastRenderedPageBreak/>
        <w:t>wydatków nie jest możliwe przekroczenie łącznej kwoty wydatków kwalifikowalnych w ramach projektu, wynikającej z zatwierdzonego wniosku o przyznanie grantu.</w:t>
      </w:r>
    </w:p>
    <w:p w:rsidR="004E59F4" w:rsidRDefault="004E59F4">
      <w:pPr>
        <w:spacing w:line="300" w:lineRule="auto"/>
        <w:jc w:val="both"/>
        <w:rPr>
          <w:color w:val="000000"/>
          <w:sz w:val="12"/>
          <w:szCs w:val="12"/>
        </w:rPr>
      </w:pPr>
    </w:p>
    <w:p w:rsidR="004E59F4" w:rsidRDefault="00273D75">
      <w:pPr>
        <w:spacing w:line="300" w:lineRule="auto"/>
        <w:jc w:val="both"/>
      </w:pPr>
      <w:r>
        <w:rPr>
          <w:color w:val="000000"/>
          <w:sz w:val="24"/>
          <w:szCs w:val="24"/>
        </w:rPr>
        <w:t xml:space="preserve">Finansowanie (grant) na realizację projektu będzie wypłacane w formie transz: pierwsza transza zaliczkowo po podpisaniu umowy z PFRON, w wysokości 60% przyznanego grantu, druga transza zaliczkowo w wysokości 30% przyznanego grantu po złożeniu przez jednostkę samorządu terytorialnego częściowego sprawozdania i rozliczenia co najmniej 60% pierwszej transzy i uznania tego rozliczenia przez PFRON; trzecia transza  do 10% przyznanego grantu </w:t>
      </w:r>
      <w:r>
        <w:rPr>
          <w:color w:val="000000"/>
          <w:sz w:val="24"/>
          <w:szCs w:val="24"/>
        </w:rPr>
        <w:br/>
        <w:t xml:space="preserve">w formie refundacji, po złożeniu przez jednostkę samorządu terytorialnego sprawozdania końcowego i rozliczeniu wcześniej przekazanych przez PFRON środków. </w:t>
      </w:r>
    </w:p>
    <w:p w:rsidR="004E59F4" w:rsidRDefault="004E59F4">
      <w:pPr>
        <w:spacing w:line="300" w:lineRule="auto"/>
        <w:jc w:val="both"/>
        <w:rPr>
          <w:color w:val="000000"/>
          <w:sz w:val="12"/>
          <w:szCs w:val="12"/>
        </w:rPr>
      </w:pPr>
    </w:p>
    <w:p w:rsidR="004E59F4" w:rsidRDefault="00273D75">
      <w:pPr>
        <w:spacing w:line="300" w:lineRule="auto"/>
        <w:jc w:val="both"/>
      </w:pPr>
      <w:r>
        <w:rPr>
          <w:color w:val="000000"/>
          <w:sz w:val="24"/>
          <w:szCs w:val="24"/>
        </w:rPr>
        <w:t>Planowany okres realizacji projektów grantowych będzie wynosił 2 lata i w okresie maksymalnie 2 lat samorządy będą również zobowiązane rozliczyć się z przyznanej dotacji. Dodatkowo należy wskazać, iż  Wnioskodawcy będą zobowiązani do świadczenia usług door-to-door  przez okres co najmniej 12 miesięcy po zakończeniu finansowania ww. usług w ramach otrzymanego grantu, a ich zakres i poziom świadczenia nie będzie mógł być mniejszy niż w czasie realizacji dofinansowanego projektu.</w:t>
      </w:r>
    </w:p>
    <w:p w:rsidR="004E59F4" w:rsidRDefault="00273D75">
      <w:pPr>
        <w:spacing w:line="300" w:lineRule="auto"/>
        <w:jc w:val="both"/>
      </w:pPr>
      <w:r>
        <w:rPr>
          <w:color w:val="000000"/>
          <w:sz w:val="24"/>
          <w:szCs w:val="24"/>
        </w:rPr>
        <w:t xml:space="preserve">Deklarowany okres świadczenia usługi nie ma wpływu na wysokość grantu. Warunek przystępności ceny odnosi się także do okresu trwałości. </w:t>
      </w:r>
    </w:p>
    <w:p w:rsidR="004E59F4" w:rsidRDefault="004E59F4">
      <w:pPr>
        <w:spacing w:line="300" w:lineRule="auto"/>
        <w:jc w:val="both"/>
        <w:rPr>
          <w:rFonts w:ascii="Calibri" w:hAnsi="Calibri"/>
          <w:color w:val="000000"/>
          <w:sz w:val="12"/>
          <w:szCs w:val="12"/>
        </w:rPr>
      </w:pPr>
    </w:p>
    <w:p w:rsidR="004E59F4" w:rsidRDefault="00273D75">
      <w:pPr>
        <w:spacing w:line="300" w:lineRule="auto"/>
        <w:jc w:val="both"/>
      </w:pPr>
      <w:r>
        <w:rPr>
          <w:color w:val="000000"/>
          <w:sz w:val="24"/>
          <w:szCs w:val="24"/>
        </w:rPr>
        <w:t>Jednostka samorządu terytorialnego, która uzyska finansowanie w ramach Projektu PFRON na wdrożenie usług transportowych door-to-door, będzie musiała przyjąć Regulamin świadczenia usług transportowych door-to-door zgodnie z procedurami w niej obowiązującymi, albo poprzez akt organu stanowiącego (uchwałę rady gminy lub rady powiatu), albo akt organu wykonawczego gminy lub powiatu (zarządzenie). Zasady dostępu do usługi transportowej door-to-door powinny być precyzyjnie określone w regulaminie świadczenia usług transportowych door-to-door. W regulaminie tym powinny być także jednoznacznie i szczegółowo rozstrzygnięte zagadnienia takie, jak zakres i formy współpłacenia za usługi oraz sposób pobierania opłat.</w:t>
      </w:r>
    </w:p>
    <w:p w:rsidR="004E59F4" w:rsidRDefault="00273D75">
      <w:pPr>
        <w:spacing w:line="300" w:lineRule="auto"/>
        <w:jc w:val="both"/>
      </w:pPr>
      <w:r>
        <w:rPr>
          <w:color w:val="000000"/>
          <w:sz w:val="24"/>
          <w:szCs w:val="24"/>
        </w:rPr>
        <w:t xml:space="preserve">Obowiązek przyjęcia Regulaminu świadczenia usług transportowych door-to-door dotyczy każdej formy świadczenia usług door-to-door, tj. także przypadku świadczenia usług za pośrednictwem podmiotów zależnych od jednostki samorządu terytorialnego lub zlecenia usługi podmiotowi zewnętrznemu. </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pPr>
      <w:r>
        <w:rPr>
          <w:color w:val="000000"/>
          <w:sz w:val="24"/>
          <w:szCs w:val="24"/>
        </w:rPr>
        <w:t>W niniejszej ekspertyzie przyjęto stan prawny obowiązujący na dzień wydania ekspertyzy, tj. 24 kwietnia 2020 r.</w:t>
      </w:r>
    </w:p>
    <w:p w:rsidR="004E59F4" w:rsidRDefault="00273D75">
      <w:pPr>
        <w:pStyle w:val="Nagwek1"/>
        <w:spacing w:after="340"/>
      </w:pPr>
      <w:bookmarkStart w:id="4" w:name="__RefHeading___Toc4965_61956352"/>
      <w:bookmarkEnd w:id="4"/>
      <w:r>
        <w:rPr>
          <w:rFonts w:ascii="Calibri" w:hAnsi="Calibri"/>
          <w:sz w:val="24"/>
          <w:szCs w:val="24"/>
        </w:rPr>
        <w:lastRenderedPageBreak/>
        <w:t>IV. Wykaz aktów prawnych i stosowanych skrótów</w:t>
      </w:r>
    </w:p>
    <w:p w:rsidR="004E59F4" w:rsidRDefault="00273D75">
      <w:pPr>
        <w:spacing w:after="113" w:line="300" w:lineRule="auto"/>
        <w:jc w:val="both"/>
        <w:rPr>
          <w:rFonts w:ascii="Calibri" w:hAnsi="Calibri"/>
          <w:color w:val="000000"/>
          <w:sz w:val="24"/>
          <w:szCs w:val="24"/>
        </w:rPr>
      </w:pPr>
      <w:r>
        <w:rPr>
          <w:color w:val="000000"/>
          <w:sz w:val="24"/>
          <w:szCs w:val="24"/>
        </w:rPr>
        <w:t xml:space="preserve">Ustawa o VAT – ustawa z dnia 11 marca 2004 r. o podatku od towarów i usług </w:t>
      </w:r>
      <w:r>
        <w:rPr>
          <w:i/>
          <w:iCs/>
          <w:color w:val="000000"/>
          <w:sz w:val="24"/>
          <w:szCs w:val="24"/>
        </w:rPr>
        <w:t>(</w:t>
      </w:r>
      <w:proofErr w:type="spellStart"/>
      <w:r>
        <w:rPr>
          <w:i/>
          <w:iCs/>
          <w:color w:val="000000"/>
          <w:sz w:val="24"/>
          <w:szCs w:val="24"/>
        </w:rPr>
        <w:t>t.j</w:t>
      </w:r>
      <w:proofErr w:type="spellEnd"/>
      <w:r>
        <w:rPr>
          <w:i/>
          <w:iCs/>
          <w:color w:val="000000"/>
          <w:sz w:val="24"/>
          <w:szCs w:val="24"/>
        </w:rPr>
        <w:t xml:space="preserve">. Dz.U. z 2020r., poz. 106 z </w:t>
      </w:r>
      <w:proofErr w:type="spellStart"/>
      <w:r>
        <w:rPr>
          <w:i/>
          <w:iCs/>
          <w:color w:val="000000"/>
          <w:sz w:val="24"/>
          <w:szCs w:val="24"/>
        </w:rPr>
        <w:t>poźn</w:t>
      </w:r>
      <w:proofErr w:type="spellEnd"/>
      <w:r>
        <w:rPr>
          <w:i/>
          <w:iCs/>
          <w:color w:val="000000"/>
          <w:sz w:val="24"/>
          <w:szCs w:val="24"/>
        </w:rPr>
        <w:t>. zm.)</w:t>
      </w:r>
    </w:p>
    <w:p w:rsidR="004E59F4" w:rsidRDefault="00273D75">
      <w:pPr>
        <w:spacing w:after="113" w:line="300" w:lineRule="auto"/>
        <w:jc w:val="both"/>
        <w:rPr>
          <w:rFonts w:ascii="Calibri" w:hAnsi="Calibri"/>
          <w:color w:val="000000"/>
          <w:sz w:val="24"/>
          <w:szCs w:val="24"/>
        </w:rPr>
      </w:pPr>
      <w:r>
        <w:rPr>
          <w:color w:val="000000"/>
          <w:sz w:val="24"/>
          <w:szCs w:val="24"/>
        </w:rPr>
        <w:t>Dyrektywa VAT – Dyrektywa 2006/112/WE z dnia 28 listopada 2006 r. w sprawie wspólnego systemu podatku od wartości dodanej</w:t>
      </w:r>
      <w:r>
        <w:rPr>
          <w:i/>
          <w:iCs/>
          <w:color w:val="000000"/>
          <w:sz w:val="24"/>
          <w:szCs w:val="24"/>
        </w:rPr>
        <w:t xml:space="preserve"> (Dz.U. UE L Nr 347 s. 1 ze zm.)</w:t>
      </w:r>
    </w:p>
    <w:p w:rsidR="004E59F4" w:rsidRDefault="00273D75">
      <w:pPr>
        <w:spacing w:after="113" w:line="300" w:lineRule="auto"/>
        <w:jc w:val="both"/>
        <w:rPr>
          <w:rFonts w:ascii="Calibri" w:hAnsi="Calibri"/>
          <w:color w:val="000000"/>
          <w:sz w:val="24"/>
          <w:szCs w:val="24"/>
        </w:rPr>
      </w:pPr>
      <w:r>
        <w:rPr>
          <w:color w:val="000000"/>
          <w:sz w:val="24"/>
          <w:szCs w:val="24"/>
        </w:rPr>
        <w:t>USG – ustawa z dnia 8 marca 1990 r. o samorządzie gminnym</w:t>
      </w:r>
      <w:r>
        <w:rPr>
          <w:i/>
          <w:iCs/>
          <w:color w:val="000000"/>
          <w:sz w:val="24"/>
          <w:szCs w:val="24"/>
        </w:rPr>
        <w:t xml:space="preserve"> (</w:t>
      </w:r>
      <w:proofErr w:type="spellStart"/>
      <w:r>
        <w:rPr>
          <w:i/>
          <w:iCs/>
          <w:color w:val="000000"/>
          <w:sz w:val="24"/>
          <w:szCs w:val="24"/>
        </w:rPr>
        <w:t>t.j</w:t>
      </w:r>
      <w:proofErr w:type="spellEnd"/>
      <w:r>
        <w:rPr>
          <w:i/>
          <w:iCs/>
          <w:color w:val="000000"/>
          <w:sz w:val="24"/>
          <w:szCs w:val="24"/>
        </w:rPr>
        <w:t>. Dz.U. z 2020 r., poz. 713)</w:t>
      </w:r>
    </w:p>
    <w:p w:rsidR="004E59F4" w:rsidRDefault="00273D75">
      <w:pPr>
        <w:spacing w:after="113" w:line="300" w:lineRule="auto"/>
        <w:jc w:val="both"/>
        <w:rPr>
          <w:rFonts w:ascii="Calibri" w:hAnsi="Calibri"/>
          <w:color w:val="000000"/>
          <w:sz w:val="24"/>
          <w:szCs w:val="24"/>
        </w:rPr>
      </w:pPr>
      <w:r>
        <w:rPr>
          <w:color w:val="000000"/>
          <w:sz w:val="24"/>
          <w:szCs w:val="24"/>
        </w:rPr>
        <w:t xml:space="preserve">USP – ustawa z dnia 5 czerwca 1998 r. o samorządzie powiatowym </w:t>
      </w:r>
      <w:r>
        <w:rPr>
          <w:i/>
          <w:iCs/>
          <w:color w:val="000000"/>
          <w:sz w:val="24"/>
          <w:szCs w:val="24"/>
        </w:rPr>
        <w:t>(</w:t>
      </w:r>
      <w:proofErr w:type="spellStart"/>
      <w:r>
        <w:rPr>
          <w:i/>
          <w:iCs/>
          <w:color w:val="000000"/>
          <w:sz w:val="24"/>
          <w:szCs w:val="24"/>
        </w:rPr>
        <w:t>t.j</w:t>
      </w:r>
      <w:proofErr w:type="spellEnd"/>
      <w:r>
        <w:rPr>
          <w:i/>
          <w:iCs/>
          <w:color w:val="000000"/>
          <w:sz w:val="24"/>
          <w:szCs w:val="24"/>
        </w:rPr>
        <w:t>. Dz.U. z 2019 r., poz. 511).</w:t>
      </w:r>
    </w:p>
    <w:p w:rsidR="004E59F4" w:rsidRDefault="00273D75">
      <w:pPr>
        <w:spacing w:after="113" w:line="300" w:lineRule="auto"/>
        <w:jc w:val="both"/>
        <w:rPr>
          <w:rFonts w:ascii="Calibri" w:hAnsi="Calibri"/>
          <w:color w:val="000000"/>
          <w:sz w:val="24"/>
          <w:szCs w:val="24"/>
        </w:rPr>
      </w:pPr>
      <w:r>
        <w:rPr>
          <w:color w:val="000000"/>
          <w:sz w:val="24"/>
          <w:szCs w:val="24"/>
        </w:rPr>
        <w:t>UPP – ustawa z dnia 24 kwietnia 2003 r. o działalności pożytku publicznego i o wolontariacie</w:t>
      </w:r>
      <w:r>
        <w:rPr>
          <w:i/>
          <w:iCs/>
          <w:color w:val="000000"/>
          <w:sz w:val="24"/>
          <w:szCs w:val="24"/>
        </w:rPr>
        <w:t xml:space="preserve"> (</w:t>
      </w:r>
      <w:proofErr w:type="spellStart"/>
      <w:r>
        <w:rPr>
          <w:i/>
          <w:iCs/>
          <w:color w:val="000000"/>
          <w:sz w:val="24"/>
          <w:szCs w:val="24"/>
        </w:rPr>
        <w:t>t.j</w:t>
      </w:r>
      <w:proofErr w:type="spellEnd"/>
      <w:r>
        <w:rPr>
          <w:i/>
          <w:iCs/>
          <w:color w:val="000000"/>
          <w:sz w:val="24"/>
          <w:szCs w:val="24"/>
        </w:rPr>
        <w:t>. Dz.U. z 2019 r., poz. 688).</w:t>
      </w:r>
    </w:p>
    <w:p w:rsidR="004E59F4" w:rsidRDefault="00273D75">
      <w:pPr>
        <w:spacing w:after="113" w:line="300" w:lineRule="auto"/>
        <w:jc w:val="both"/>
        <w:rPr>
          <w:rFonts w:ascii="Calibri" w:hAnsi="Calibri"/>
          <w:color w:val="000000"/>
          <w:sz w:val="24"/>
          <w:szCs w:val="24"/>
        </w:rPr>
      </w:pPr>
      <w:r>
        <w:rPr>
          <w:color w:val="000000"/>
          <w:sz w:val="24"/>
          <w:szCs w:val="24"/>
        </w:rPr>
        <w:t>Ustawa wdrożeniowa – ustawa z dnia 11 lipca 2014 r. o zasadach realizacji programów w zakresie polityki spójności finansowanych w perspektywie finansowej 2014-2020</w:t>
      </w:r>
      <w:r>
        <w:rPr>
          <w:i/>
          <w:iCs/>
          <w:color w:val="000000"/>
          <w:sz w:val="24"/>
          <w:szCs w:val="24"/>
        </w:rPr>
        <w:t xml:space="preserve"> (</w:t>
      </w:r>
      <w:proofErr w:type="spellStart"/>
      <w:r>
        <w:rPr>
          <w:i/>
          <w:iCs/>
          <w:color w:val="000000"/>
          <w:sz w:val="24"/>
          <w:szCs w:val="24"/>
        </w:rPr>
        <w:t>t.j</w:t>
      </w:r>
      <w:proofErr w:type="spellEnd"/>
      <w:r>
        <w:rPr>
          <w:i/>
          <w:iCs/>
          <w:color w:val="000000"/>
          <w:sz w:val="24"/>
          <w:szCs w:val="24"/>
        </w:rPr>
        <w:t xml:space="preserve">. Dz.U. z 2018 r., poz. 1431 z </w:t>
      </w:r>
      <w:proofErr w:type="spellStart"/>
      <w:r>
        <w:rPr>
          <w:i/>
          <w:iCs/>
          <w:color w:val="000000"/>
          <w:sz w:val="24"/>
          <w:szCs w:val="24"/>
        </w:rPr>
        <w:t>późn</w:t>
      </w:r>
      <w:proofErr w:type="spellEnd"/>
      <w:r>
        <w:rPr>
          <w:i/>
          <w:iCs/>
          <w:color w:val="000000"/>
          <w:sz w:val="24"/>
          <w:szCs w:val="24"/>
        </w:rPr>
        <w:t>. zm.)</w:t>
      </w:r>
    </w:p>
    <w:p w:rsidR="004E59F4" w:rsidRDefault="00273D75">
      <w:pPr>
        <w:spacing w:after="113" w:line="300" w:lineRule="auto"/>
        <w:jc w:val="both"/>
      </w:pPr>
      <w:r>
        <w:rPr>
          <w:color w:val="000000"/>
          <w:sz w:val="24"/>
          <w:szCs w:val="24"/>
        </w:rPr>
        <w:t xml:space="preserve">Ordynacja podatkowa – ustawa z dnia 29 sierpnia 1997 r. Ordynacja podatkowa </w:t>
      </w:r>
      <w:r>
        <w:rPr>
          <w:i/>
          <w:iCs/>
          <w:color w:val="000000"/>
          <w:sz w:val="24"/>
          <w:szCs w:val="24"/>
        </w:rPr>
        <w:t>(</w:t>
      </w:r>
      <w:proofErr w:type="spellStart"/>
      <w:r>
        <w:rPr>
          <w:i/>
          <w:iCs/>
          <w:color w:val="000000"/>
          <w:sz w:val="24"/>
          <w:szCs w:val="24"/>
        </w:rPr>
        <w:t>t.j</w:t>
      </w:r>
      <w:proofErr w:type="spellEnd"/>
      <w:r>
        <w:rPr>
          <w:i/>
          <w:iCs/>
          <w:color w:val="000000"/>
          <w:sz w:val="24"/>
          <w:szCs w:val="24"/>
        </w:rPr>
        <w:t xml:space="preserve">. Dz.U. z 2019 r. poz. 900 z </w:t>
      </w:r>
      <w:proofErr w:type="spellStart"/>
      <w:r>
        <w:rPr>
          <w:i/>
          <w:iCs/>
          <w:color w:val="000000"/>
          <w:sz w:val="24"/>
          <w:szCs w:val="24"/>
        </w:rPr>
        <w:t>późn</w:t>
      </w:r>
      <w:proofErr w:type="spellEnd"/>
      <w:r>
        <w:rPr>
          <w:i/>
          <w:iCs/>
          <w:color w:val="000000"/>
          <w:sz w:val="24"/>
          <w:szCs w:val="24"/>
        </w:rPr>
        <w:t>. zm.)</w:t>
      </w:r>
    </w:p>
    <w:p w:rsidR="004E59F4" w:rsidRDefault="00273D75">
      <w:pPr>
        <w:spacing w:after="113" w:line="300" w:lineRule="auto"/>
        <w:jc w:val="both"/>
        <w:rPr>
          <w:rFonts w:ascii="Calibri" w:hAnsi="Calibri"/>
          <w:color w:val="000000"/>
          <w:sz w:val="24"/>
          <w:szCs w:val="24"/>
        </w:rPr>
      </w:pPr>
      <w:r>
        <w:rPr>
          <w:color w:val="000000"/>
          <w:sz w:val="24"/>
          <w:szCs w:val="24"/>
        </w:rPr>
        <w:t xml:space="preserve">Rozporządzenie 1370/2007 – rozporządzenie (WE) Nr 1370/2007 Parlamentu Europejskiego i Rady z dnia 23 października 2007 r.) z dnia 23 października 2007 r. dotyczące usług publicznych w zakresie kolejowego i drogowego transportu pasażerskiego oraz uchylające rozporządzenia Rady (EWG) nr 1191/69 i (EWG) nr 1107/70 </w:t>
      </w:r>
      <w:r>
        <w:rPr>
          <w:i/>
          <w:iCs/>
          <w:color w:val="000000"/>
          <w:sz w:val="24"/>
          <w:szCs w:val="24"/>
        </w:rPr>
        <w:t>(Dz.U.UE.L.2007.315.1)</w:t>
      </w:r>
    </w:p>
    <w:p w:rsidR="004E59F4" w:rsidRDefault="00273D75">
      <w:pPr>
        <w:spacing w:after="113" w:line="300" w:lineRule="auto"/>
        <w:jc w:val="both"/>
        <w:rPr>
          <w:rFonts w:ascii="Calibri" w:hAnsi="Calibri"/>
          <w:color w:val="000000"/>
          <w:sz w:val="24"/>
          <w:szCs w:val="24"/>
        </w:rPr>
      </w:pPr>
      <w:r>
        <w:rPr>
          <w:color w:val="000000"/>
          <w:sz w:val="24"/>
          <w:szCs w:val="24"/>
        </w:rPr>
        <w:t xml:space="preserve">Rozporządzenie MF </w:t>
      </w:r>
      <w:proofErr w:type="spellStart"/>
      <w:r>
        <w:rPr>
          <w:color w:val="000000"/>
          <w:sz w:val="24"/>
          <w:szCs w:val="24"/>
        </w:rPr>
        <w:t>ws</w:t>
      </w:r>
      <w:proofErr w:type="spellEnd"/>
      <w:r>
        <w:rPr>
          <w:color w:val="000000"/>
          <w:sz w:val="24"/>
          <w:szCs w:val="24"/>
        </w:rPr>
        <w:t>. kas rejestrujących – Rozporządzenie Ministra Finansów z dnia 29 kwietnia 2019 r. w sprawie kas rejestrujących (Dz.U. z 2019 r. poz. 816)</w:t>
      </w:r>
    </w:p>
    <w:p w:rsidR="004E59F4" w:rsidRDefault="00273D75">
      <w:pPr>
        <w:spacing w:after="113" w:line="300" w:lineRule="auto"/>
        <w:jc w:val="both"/>
        <w:rPr>
          <w:rFonts w:ascii="Calibri" w:hAnsi="Calibri"/>
          <w:color w:val="000000"/>
          <w:sz w:val="24"/>
          <w:szCs w:val="24"/>
        </w:rPr>
      </w:pPr>
      <w:r>
        <w:rPr>
          <w:color w:val="000000"/>
          <w:sz w:val="24"/>
          <w:szCs w:val="24"/>
        </w:rPr>
        <w:t xml:space="preserve">Rozporządzenie MF z 28.12.2018 – Rozporządzenie Ministra Finansów z dnia 28 grudnia 2018 r. w sprawie zwolnień z obowiązku prowadzenia ewidencji przy zastosowaniu kas rejestrujących </w:t>
      </w:r>
      <w:r>
        <w:rPr>
          <w:i/>
          <w:iCs/>
          <w:color w:val="000000"/>
          <w:sz w:val="24"/>
          <w:szCs w:val="24"/>
        </w:rPr>
        <w:t>(Dz.U. z 2018 r. poz. 2519)</w:t>
      </w:r>
    </w:p>
    <w:p w:rsidR="004E59F4" w:rsidRDefault="00273D75">
      <w:pPr>
        <w:spacing w:after="113" w:line="300" w:lineRule="auto"/>
        <w:jc w:val="both"/>
        <w:rPr>
          <w:rFonts w:ascii="Calibri" w:hAnsi="Calibri"/>
          <w:color w:val="000000"/>
          <w:sz w:val="24"/>
          <w:szCs w:val="24"/>
        </w:rPr>
      </w:pPr>
      <w:r>
        <w:rPr>
          <w:color w:val="000000"/>
          <w:sz w:val="24"/>
          <w:szCs w:val="24"/>
        </w:rPr>
        <w:t xml:space="preserve">Rozporządzenie MF z 28.05.2014 – Rozporządzenie Ministra Finansów z dnia 28 maja 2014 r. w sprawie przypadków, w których nie stosuje się warunku prowadzenia ewidencji przebiegu pojazdu </w:t>
      </w:r>
      <w:r>
        <w:rPr>
          <w:i/>
          <w:iCs/>
          <w:color w:val="000000"/>
          <w:sz w:val="24"/>
          <w:szCs w:val="24"/>
        </w:rPr>
        <w:t>(Dz.U. z 2014 r. poz. 709)</w:t>
      </w:r>
    </w:p>
    <w:p w:rsidR="004E59F4" w:rsidRDefault="00273D75">
      <w:pPr>
        <w:spacing w:after="113" w:line="300" w:lineRule="auto"/>
        <w:jc w:val="both"/>
        <w:rPr>
          <w:rFonts w:ascii="Calibri" w:hAnsi="Calibri"/>
          <w:color w:val="000000"/>
          <w:sz w:val="24"/>
          <w:szCs w:val="24"/>
        </w:rPr>
      </w:pPr>
      <w:r>
        <w:rPr>
          <w:color w:val="000000"/>
          <w:sz w:val="24"/>
          <w:szCs w:val="24"/>
        </w:rPr>
        <w:t>VAT – podatek od towarów i usług</w:t>
      </w:r>
    </w:p>
    <w:p w:rsidR="004E59F4" w:rsidRDefault="00273D75">
      <w:pPr>
        <w:spacing w:after="113" w:line="300" w:lineRule="auto"/>
        <w:jc w:val="both"/>
        <w:rPr>
          <w:rFonts w:ascii="Calibri" w:hAnsi="Calibri"/>
          <w:color w:val="000000"/>
          <w:sz w:val="24"/>
          <w:szCs w:val="24"/>
        </w:rPr>
      </w:pPr>
      <w:r>
        <w:rPr>
          <w:color w:val="000000"/>
          <w:sz w:val="24"/>
          <w:szCs w:val="24"/>
        </w:rPr>
        <w:t>DIS – Dyrektor Izby Skarbowej</w:t>
      </w:r>
    </w:p>
    <w:p w:rsidR="004E59F4" w:rsidRDefault="00273D75">
      <w:pPr>
        <w:spacing w:after="113" w:line="300" w:lineRule="auto"/>
        <w:jc w:val="both"/>
        <w:rPr>
          <w:rFonts w:ascii="Calibri" w:hAnsi="Calibri"/>
          <w:color w:val="000000"/>
          <w:sz w:val="24"/>
          <w:szCs w:val="24"/>
        </w:rPr>
      </w:pPr>
      <w:r>
        <w:rPr>
          <w:color w:val="000000"/>
          <w:sz w:val="24"/>
          <w:szCs w:val="24"/>
        </w:rPr>
        <w:t>DKIS – Dyrektor Krajowej Informacji Skarbowej</w:t>
      </w:r>
    </w:p>
    <w:p w:rsidR="004E59F4" w:rsidRDefault="00273D75">
      <w:pPr>
        <w:spacing w:after="113" w:line="300" w:lineRule="auto"/>
        <w:jc w:val="both"/>
        <w:rPr>
          <w:rFonts w:ascii="Calibri" w:hAnsi="Calibri"/>
          <w:color w:val="000000"/>
          <w:sz w:val="24"/>
          <w:szCs w:val="24"/>
        </w:rPr>
      </w:pPr>
      <w:r>
        <w:rPr>
          <w:color w:val="000000"/>
          <w:sz w:val="24"/>
          <w:szCs w:val="24"/>
        </w:rPr>
        <w:lastRenderedPageBreak/>
        <w:t>NSA – Naczelny Sąd Administracyjny</w:t>
      </w:r>
    </w:p>
    <w:p w:rsidR="004E59F4" w:rsidRDefault="00273D75">
      <w:pPr>
        <w:spacing w:after="113" w:line="300" w:lineRule="auto"/>
        <w:jc w:val="both"/>
        <w:rPr>
          <w:rFonts w:ascii="Calibri" w:hAnsi="Calibri"/>
          <w:color w:val="000000"/>
          <w:sz w:val="24"/>
          <w:szCs w:val="24"/>
        </w:rPr>
      </w:pPr>
      <w:r>
        <w:rPr>
          <w:color w:val="000000"/>
          <w:sz w:val="24"/>
          <w:szCs w:val="24"/>
        </w:rPr>
        <w:t>WSA – Wojewódzki Sąd Administracyjny</w:t>
      </w:r>
    </w:p>
    <w:p w:rsidR="004E59F4" w:rsidRDefault="00273D75">
      <w:pPr>
        <w:spacing w:after="113" w:line="300" w:lineRule="auto"/>
        <w:jc w:val="both"/>
        <w:rPr>
          <w:color w:val="000000"/>
          <w:sz w:val="24"/>
          <w:szCs w:val="24"/>
        </w:rPr>
      </w:pPr>
      <w:r>
        <w:rPr>
          <w:color w:val="000000"/>
          <w:sz w:val="24"/>
          <w:szCs w:val="24"/>
        </w:rPr>
        <w:t>TSUE – Trybunał Sprawiedliwości Unii Europejskiej</w:t>
      </w:r>
    </w:p>
    <w:p w:rsidR="004E59F4" w:rsidRDefault="00273D75">
      <w:pPr>
        <w:spacing w:after="113" w:line="300" w:lineRule="auto"/>
        <w:jc w:val="both"/>
      </w:pPr>
      <w:r>
        <w:rPr>
          <w:color w:val="000000"/>
          <w:sz w:val="24"/>
          <w:szCs w:val="24"/>
        </w:rPr>
        <w:t>PK – podmiot komercyjny</w:t>
      </w:r>
    </w:p>
    <w:p w:rsidR="004E59F4" w:rsidRDefault="00273D75">
      <w:pPr>
        <w:spacing w:after="113" w:line="300" w:lineRule="auto"/>
        <w:jc w:val="both"/>
      </w:pPr>
      <w:r>
        <w:rPr>
          <w:color w:val="000000"/>
          <w:sz w:val="24"/>
          <w:szCs w:val="24"/>
        </w:rPr>
        <w:t>SK – spółka komunalna</w:t>
      </w:r>
    </w:p>
    <w:p w:rsidR="004E59F4" w:rsidRDefault="00273D75">
      <w:pPr>
        <w:spacing w:after="113" w:line="300" w:lineRule="auto"/>
        <w:jc w:val="both"/>
      </w:pPr>
      <w:r>
        <w:rPr>
          <w:color w:val="000000"/>
          <w:sz w:val="24"/>
          <w:szCs w:val="24"/>
        </w:rPr>
        <w:t>JST – jednostka samorządu terytorialnego</w:t>
      </w:r>
    </w:p>
    <w:p w:rsidR="004E59F4" w:rsidRDefault="00273D75">
      <w:pPr>
        <w:spacing w:after="113" w:line="300" w:lineRule="auto"/>
        <w:jc w:val="both"/>
        <w:rPr>
          <w:rFonts w:ascii="Calibri" w:hAnsi="Calibri"/>
          <w:color w:val="000000"/>
          <w:sz w:val="24"/>
          <w:szCs w:val="24"/>
        </w:rPr>
      </w:pPr>
      <w:r>
        <w:rPr>
          <w:color w:val="000000"/>
          <w:sz w:val="24"/>
          <w:szCs w:val="24"/>
        </w:rPr>
        <w:t>PW – proporcja, o której mowa w art. 86 ust. 2a i następne ustawy o VAT</w:t>
      </w:r>
    </w:p>
    <w:p w:rsidR="004E59F4" w:rsidRDefault="00273D75">
      <w:pPr>
        <w:spacing w:after="113" w:line="300" w:lineRule="auto"/>
        <w:jc w:val="both"/>
        <w:rPr>
          <w:rFonts w:ascii="Calibri" w:hAnsi="Calibri"/>
          <w:color w:val="000000"/>
          <w:sz w:val="24"/>
          <w:szCs w:val="24"/>
        </w:rPr>
      </w:pPr>
      <w:r>
        <w:rPr>
          <w:color w:val="000000"/>
          <w:sz w:val="24"/>
          <w:szCs w:val="24"/>
        </w:rPr>
        <w:t>WSP – proporcja, o której mowa w art. 90 ust. 2 ustawy o VAT</w:t>
      </w:r>
    </w:p>
    <w:p w:rsidR="004E59F4" w:rsidRDefault="00273D75">
      <w:pPr>
        <w:spacing w:after="113" w:line="300" w:lineRule="auto"/>
        <w:jc w:val="both"/>
        <w:rPr>
          <w:rFonts w:ascii="Calibri" w:hAnsi="Calibri"/>
          <w:color w:val="000000"/>
          <w:sz w:val="24"/>
          <w:szCs w:val="24"/>
        </w:rPr>
      </w:pPr>
      <w:r>
        <w:rPr>
          <w:color w:val="000000"/>
          <w:sz w:val="24"/>
          <w:szCs w:val="24"/>
        </w:rPr>
        <w:t>OPP – organizacja pożytku publicznego</w:t>
      </w:r>
      <w:r>
        <w:br w:type="page"/>
      </w:r>
    </w:p>
    <w:p w:rsidR="004E59F4" w:rsidRDefault="00273D75">
      <w:pPr>
        <w:pStyle w:val="Nagwek1"/>
        <w:spacing w:before="0" w:after="340" w:line="300" w:lineRule="auto"/>
        <w:jc w:val="both"/>
      </w:pPr>
      <w:bookmarkStart w:id="5" w:name="__RefHeading___Toc4967_61956352"/>
      <w:bookmarkEnd w:id="5"/>
      <w:r>
        <w:rPr>
          <w:rFonts w:ascii="Calibri" w:hAnsi="Calibri"/>
          <w:color w:val="000000"/>
          <w:sz w:val="24"/>
          <w:szCs w:val="24"/>
        </w:rPr>
        <w:lastRenderedPageBreak/>
        <w:t>V. Analiza zagadnienia</w:t>
      </w:r>
    </w:p>
    <w:p w:rsidR="004E59F4" w:rsidRDefault="00273D75">
      <w:pPr>
        <w:spacing w:line="300" w:lineRule="auto"/>
        <w:jc w:val="both"/>
      </w:pPr>
      <w:bookmarkStart w:id="6" w:name="__RefHeading___Toc10168_1472122084"/>
      <w:bookmarkEnd w:id="6"/>
      <w:r>
        <w:rPr>
          <w:rFonts w:eastAsia="HG Mincho Light J;msmincho" w:cs="Arial Unicode MS;Arial"/>
          <w:color w:val="000000"/>
          <w:sz w:val="24"/>
          <w:szCs w:val="24"/>
          <w:lang w:bidi="pl-PL"/>
        </w:rPr>
        <w:t>Jak wskazano na wstępie, niniejsza ekspertyza  ma  na  celu  określenie/wskazanie,  czy  JST będą zobowiązane  do  odprowadzenia/zapłaty  podatku VAT, a jeśli tak, to według jakiej  stawki oraz ustalenie kwestii ewentualnych odliczeń ze wskazaniem podstawy prawnej.</w:t>
      </w:r>
    </w:p>
    <w:p w:rsidR="004E59F4" w:rsidRDefault="004E59F4">
      <w:pPr>
        <w:spacing w:after="57" w:line="300" w:lineRule="auto"/>
        <w:jc w:val="both"/>
        <w:rPr>
          <w:rFonts w:ascii="Calibri" w:hAnsi="Calibri"/>
          <w:b/>
          <w:bCs/>
          <w:color w:val="000000"/>
          <w:sz w:val="24"/>
          <w:szCs w:val="24"/>
        </w:rPr>
      </w:pPr>
    </w:p>
    <w:p w:rsidR="004E59F4" w:rsidRDefault="00273D75">
      <w:pPr>
        <w:pStyle w:val="Nagwek2"/>
        <w:spacing w:before="238" w:after="113" w:line="300" w:lineRule="auto"/>
        <w:jc w:val="both"/>
      </w:pPr>
      <w:bookmarkStart w:id="7" w:name="__RefHeading___Toc4969_61956352"/>
      <w:bookmarkEnd w:id="7"/>
      <w:r>
        <w:rPr>
          <w:rFonts w:ascii="Calibri" w:hAnsi="Calibri"/>
          <w:bCs/>
          <w:i w:val="0"/>
          <w:color w:val="000000"/>
          <w:szCs w:val="24"/>
        </w:rPr>
        <w:t>1. VAT od otrzymanej dotacji na realizację usług transportowych door-to-door przez JST</w:t>
      </w:r>
    </w:p>
    <w:p w:rsidR="004E59F4" w:rsidRDefault="00273D75">
      <w:pPr>
        <w:spacing w:line="300" w:lineRule="auto"/>
        <w:jc w:val="both"/>
      </w:pPr>
      <w:r>
        <w:rPr>
          <w:color w:val="000000"/>
          <w:sz w:val="24"/>
          <w:szCs w:val="24"/>
        </w:rPr>
        <w:t xml:space="preserve">Kwestia kwalifikacji dla celów opodatkowania VAT otrzymanej przez JST dotacji powinna być analizowana w kontekście modelu, w jakim będzie świadczona usługa transportowa door-to-door. </w:t>
      </w:r>
    </w:p>
    <w:p w:rsidR="004E59F4" w:rsidRDefault="00273D75">
      <w:pPr>
        <w:spacing w:line="300" w:lineRule="auto"/>
        <w:jc w:val="both"/>
      </w:pPr>
      <w:r>
        <w:rPr>
          <w:sz w:val="24"/>
          <w:szCs w:val="24"/>
        </w:rPr>
        <w:t xml:space="preserve">Zagadnienie będące przedmiotem niniejszego punktu jest też ściśle związane z pkt. 4, jak i pkt. 5 niniejszej ekspertyzy. </w:t>
      </w:r>
    </w:p>
    <w:p w:rsidR="004E59F4" w:rsidRDefault="00273D75">
      <w:pPr>
        <w:spacing w:line="300" w:lineRule="auto"/>
        <w:jc w:val="both"/>
      </w:pPr>
      <w:r>
        <w:rPr>
          <w:color w:val="000000"/>
          <w:sz w:val="24"/>
          <w:szCs w:val="24"/>
        </w:rPr>
        <w:t>Na wstępie wskazać należy, iż</w:t>
      </w:r>
      <w:r>
        <w:rPr>
          <w:b/>
          <w:bCs/>
          <w:color w:val="000000"/>
          <w:sz w:val="24"/>
          <w:szCs w:val="24"/>
        </w:rPr>
        <w:t xml:space="preserve"> dotacja jako taka nie podlega opodatkowaniu VAT. W określonych przypadkach może ona natomiast stanowić element podstawy opodatkowania VAT czynności podlegającej temu podatkowi.</w:t>
      </w:r>
    </w:p>
    <w:p w:rsidR="004E59F4" w:rsidRDefault="00273D75">
      <w:pPr>
        <w:spacing w:line="300" w:lineRule="auto"/>
        <w:jc w:val="both"/>
        <w:rPr>
          <w:rFonts w:ascii="Calibri" w:hAnsi="Calibri"/>
          <w:color w:val="000000"/>
          <w:sz w:val="24"/>
          <w:szCs w:val="24"/>
        </w:rPr>
      </w:pPr>
      <w:r>
        <w:rPr>
          <w:color w:val="000000"/>
          <w:sz w:val="24"/>
          <w:szCs w:val="24"/>
        </w:rPr>
        <w:t>Rozstrzygnięcie tej kwestii zależy zatem</w:t>
      </w:r>
      <w:r>
        <w:rPr>
          <w:b/>
          <w:bCs/>
          <w:color w:val="000000"/>
          <w:sz w:val="24"/>
          <w:szCs w:val="24"/>
        </w:rPr>
        <w:t xml:space="preserve"> w pierwszej kolejności</w:t>
      </w:r>
      <w:r>
        <w:rPr>
          <w:color w:val="000000"/>
          <w:sz w:val="24"/>
          <w:szCs w:val="24"/>
        </w:rPr>
        <w:t xml:space="preserve"> od tego,</w:t>
      </w:r>
      <w:r>
        <w:rPr>
          <w:b/>
          <w:bCs/>
          <w:color w:val="000000"/>
          <w:sz w:val="24"/>
          <w:szCs w:val="24"/>
        </w:rPr>
        <w:t xml:space="preserve"> czy w analizowanej sytuacji będziemy mieć do czynienia z wykonywaniem czynności podlegających opodatkowaniu VAT.</w:t>
      </w:r>
    </w:p>
    <w:p w:rsidR="004E59F4" w:rsidRDefault="00273D75">
      <w:pPr>
        <w:spacing w:line="300" w:lineRule="auto"/>
        <w:jc w:val="both"/>
        <w:rPr>
          <w:rFonts w:ascii="Calibri" w:hAnsi="Calibri"/>
          <w:color w:val="000000"/>
          <w:sz w:val="24"/>
          <w:szCs w:val="24"/>
        </w:rPr>
      </w:pPr>
      <w:r>
        <w:rPr>
          <w:color w:val="000000"/>
          <w:sz w:val="24"/>
          <w:szCs w:val="24"/>
        </w:rPr>
        <w:t>Zgodnie z art. 5 ust. 1 pkt 1 ustawy o VAT, opodatkowaniu podatkiem od towarów i usług podlegają odpłatna dostawa towarów i odpłatne świadczenie usług na terytorium kraju.</w:t>
      </w:r>
    </w:p>
    <w:p w:rsidR="004E59F4" w:rsidRDefault="00273D75">
      <w:pPr>
        <w:spacing w:line="300" w:lineRule="auto"/>
        <w:jc w:val="both"/>
        <w:rPr>
          <w:rFonts w:ascii="Calibri" w:hAnsi="Calibri"/>
          <w:color w:val="000000"/>
          <w:sz w:val="24"/>
          <w:szCs w:val="24"/>
        </w:rPr>
      </w:pPr>
      <w:r>
        <w:rPr>
          <w:color w:val="000000"/>
          <w:sz w:val="24"/>
          <w:szCs w:val="24"/>
        </w:rPr>
        <w:t>Na podstawie art. 7 ust. 1 ww. ustawy, przez dostawę towarów, o której mowa w art. 5 ust. 1 pkt 1, rozumie się przeniesienie prawa do rozporządzania towarami jak właściciel (...). Przy czym, towarami - w myśl art. 2 pkt 6 cyt. ustawy - są rzeczy oraz ich części, a także wszelkie postacie energii.</w:t>
      </w:r>
    </w:p>
    <w:p w:rsidR="004E59F4" w:rsidRDefault="00273D75">
      <w:pPr>
        <w:spacing w:line="300" w:lineRule="auto"/>
        <w:jc w:val="both"/>
      </w:pPr>
      <w:r>
        <w:rPr>
          <w:color w:val="000000"/>
          <w:sz w:val="24"/>
          <w:szCs w:val="24"/>
        </w:rPr>
        <w:t>Natomiast, stosownie do art. 8 ust. 1 ww. ustawy, przez świadczenie usług, o którym mowa w art. 5 ust. 1 pkt 1 rozumie się każde świadczenie na rzecz osoby fizycznej, osoby prawnej lub jednostki organizacyjnej niemającej osobowości prawnej, które nie stanowi dostawy towarów w rozumieniu art. 7, w tym również:</w:t>
      </w:r>
    </w:p>
    <w:p w:rsidR="004E59F4" w:rsidRDefault="00273D75">
      <w:pPr>
        <w:numPr>
          <w:ilvl w:val="0"/>
          <w:numId w:val="6"/>
        </w:numPr>
        <w:spacing w:line="300" w:lineRule="auto"/>
        <w:jc w:val="both"/>
        <w:rPr>
          <w:rFonts w:ascii="Calibri" w:hAnsi="Calibri"/>
          <w:color w:val="000000"/>
          <w:sz w:val="24"/>
          <w:szCs w:val="24"/>
        </w:rPr>
      </w:pPr>
      <w:r>
        <w:rPr>
          <w:color w:val="000000"/>
          <w:sz w:val="24"/>
          <w:szCs w:val="24"/>
        </w:rPr>
        <w:t>przeniesienie praw do wartości niematerialnych i prawnych, bez względu na formę, w jakiej dokonano czynności prawnej;</w:t>
      </w:r>
    </w:p>
    <w:p w:rsidR="004E59F4" w:rsidRDefault="00273D75">
      <w:pPr>
        <w:numPr>
          <w:ilvl w:val="0"/>
          <w:numId w:val="6"/>
        </w:numPr>
        <w:spacing w:line="300" w:lineRule="auto"/>
        <w:jc w:val="both"/>
        <w:rPr>
          <w:rFonts w:ascii="Calibri" w:hAnsi="Calibri"/>
          <w:color w:val="000000"/>
          <w:sz w:val="24"/>
          <w:szCs w:val="24"/>
        </w:rPr>
      </w:pPr>
      <w:r>
        <w:rPr>
          <w:color w:val="000000"/>
          <w:sz w:val="24"/>
          <w:szCs w:val="24"/>
        </w:rPr>
        <w:t>zobowiązanie do powstrzymania się od dokonania czynności lub do tolerowania czynności lub sytuacji;</w:t>
      </w:r>
    </w:p>
    <w:p w:rsidR="004E59F4" w:rsidRDefault="00273D75">
      <w:pPr>
        <w:numPr>
          <w:ilvl w:val="0"/>
          <w:numId w:val="6"/>
        </w:numPr>
        <w:spacing w:line="300" w:lineRule="auto"/>
        <w:jc w:val="both"/>
        <w:rPr>
          <w:rFonts w:ascii="Calibri" w:hAnsi="Calibri"/>
          <w:color w:val="000000"/>
          <w:sz w:val="24"/>
          <w:szCs w:val="24"/>
        </w:rPr>
      </w:pPr>
      <w:r>
        <w:rPr>
          <w:color w:val="000000"/>
          <w:sz w:val="24"/>
          <w:szCs w:val="24"/>
        </w:rPr>
        <w:t>świadczenie usług zgodnie z nakazem organu władzy publicznej lub podmiotu działającego w jego imieniu lub nakazem wynikającym z mocy prawa.</w:t>
      </w:r>
    </w:p>
    <w:p w:rsidR="004E59F4" w:rsidRDefault="00273D75">
      <w:pPr>
        <w:spacing w:line="300" w:lineRule="auto"/>
        <w:jc w:val="both"/>
      </w:pPr>
      <w:r>
        <w:rPr>
          <w:color w:val="000000"/>
          <w:sz w:val="24"/>
          <w:szCs w:val="24"/>
        </w:rPr>
        <w:lastRenderedPageBreak/>
        <w:t xml:space="preserve">Powołane przepisy wskazują, że pojęcie świadczenia usług ma bardzo szeroki zakres, gdyż nie obejmuje wyłącznie działań podatnika, lecz również zobowiązanie do powstrzymania się od dokonywania czynności lub do tolerowania czynności bądź sytuacji. Pod pojęciem usługi (świadczenia) należy rozumieć zasadniczo każde zachowanie, na które składać się może zarówno działanie (uczynienie, wykonanie czegoś), jak i zaniechanie (nieczynienie bądź też tolerowanie, znoszenie określonych stanów rzeczy). </w:t>
      </w:r>
    </w:p>
    <w:p w:rsidR="004E59F4" w:rsidRDefault="004E59F4">
      <w:pPr>
        <w:spacing w:line="300" w:lineRule="auto"/>
        <w:jc w:val="both"/>
        <w:rPr>
          <w:color w:val="000000"/>
          <w:sz w:val="12"/>
          <w:szCs w:val="12"/>
        </w:rPr>
      </w:pPr>
    </w:p>
    <w:p w:rsidR="004E59F4" w:rsidRDefault="00273D75">
      <w:pPr>
        <w:spacing w:line="300" w:lineRule="auto"/>
        <w:jc w:val="both"/>
      </w:pPr>
      <w:r>
        <w:rPr>
          <w:color w:val="000000"/>
          <w:sz w:val="24"/>
          <w:szCs w:val="24"/>
        </w:rPr>
        <w:t xml:space="preserve">W świetle orzecznictwa TSUE, przyjmuje się, iż </w:t>
      </w:r>
      <w:r>
        <w:rPr>
          <w:b/>
          <w:bCs/>
          <w:color w:val="000000"/>
          <w:sz w:val="24"/>
          <w:szCs w:val="24"/>
        </w:rPr>
        <w:t>określone świadczenie podlega opodatkowaniu VAT, gdy łącznie spełnione są następujące warunki:</w:t>
      </w:r>
    </w:p>
    <w:p w:rsidR="004E59F4" w:rsidRDefault="00273D75">
      <w:pPr>
        <w:spacing w:line="300" w:lineRule="auto"/>
        <w:jc w:val="both"/>
        <w:rPr>
          <w:rFonts w:ascii="Calibri" w:hAnsi="Calibri"/>
          <w:color w:val="000000"/>
          <w:sz w:val="24"/>
          <w:szCs w:val="24"/>
        </w:rPr>
      </w:pPr>
      <w:r>
        <w:rPr>
          <w:color w:val="000000"/>
          <w:sz w:val="24"/>
          <w:szCs w:val="24"/>
        </w:rPr>
        <w:t>* w następstwie zobowiązania, w wykonaniu którego usługa jest świadczona</w:t>
      </w:r>
      <w:r>
        <w:rPr>
          <w:b/>
          <w:bCs/>
          <w:color w:val="000000"/>
          <w:sz w:val="24"/>
          <w:szCs w:val="24"/>
        </w:rPr>
        <w:t>, druga strona (nabywca) jest bezpośrednim beneficjentem świadczenia,</w:t>
      </w:r>
    </w:p>
    <w:p w:rsidR="004E59F4" w:rsidRDefault="00273D75">
      <w:pPr>
        <w:spacing w:line="300" w:lineRule="auto"/>
        <w:jc w:val="both"/>
        <w:rPr>
          <w:rFonts w:ascii="Calibri" w:hAnsi="Calibri"/>
          <w:color w:val="000000"/>
          <w:sz w:val="24"/>
          <w:szCs w:val="24"/>
        </w:rPr>
      </w:pPr>
      <w:r>
        <w:rPr>
          <w:color w:val="000000"/>
          <w:sz w:val="24"/>
          <w:szCs w:val="24"/>
        </w:rPr>
        <w:t>* świadczonej</w:t>
      </w:r>
      <w:r>
        <w:rPr>
          <w:b/>
          <w:bCs/>
          <w:color w:val="000000"/>
          <w:sz w:val="24"/>
          <w:szCs w:val="24"/>
        </w:rPr>
        <w:t xml:space="preserve"> usłudze odpowiada świadczenie wzajemne ze strony nabywcy (wynagrodzenie).</w:t>
      </w:r>
    </w:p>
    <w:p w:rsidR="004E59F4" w:rsidRDefault="00273D75">
      <w:pPr>
        <w:spacing w:line="300" w:lineRule="auto"/>
        <w:jc w:val="both"/>
      </w:pPr>
      <w:r>
        <w:rPr>
          <w:color w:val="000000"/>
          <w:sz w:val="24"/>
          <w:szCs w:val="24"/>
        </w:rPr>
        <w:t>(por. m.in. wyrok TSUE z 22.06.2016 r. w sprawie C-11/15).</w:t>
      </w:r>
    </w:p>
    <w:p w:rsidR="004E59F4" w:rsidRDefault="004E59F4">
      <w:pPr>
        <w:spacing w:line="300" w:lineRule="auto"/>
        <w:jc w:val="both"/>
        <w:rPr>
          <w:rFonts w:ascii="Calibri" w:hAnsi="Calibri"/>
          <w:color w:val="000000"/>
          <w:sz w:val="12"/>
          <w:szCs w:val="12"/>
        </w:rPr>
      </w:pPr>
    </w:p>
    <w:p w:rsidR="004E59F4" w:rsidRDefault="00273D75">
      <w:pPr>
        <w:spacing w:line="300" w:lineRule="auto"/>
        <w:jc w:val="both"/>
      </w:pPr>
      <w:r>
        <w:rPr>
          <w:color w:val="000000"/>
          <w:sz w:val="24"/>
          <w:szCs w:val="24"/>
        </w:rPr>
        <w:t>W konsekwencji stwierdzić należy, że</w:t>
      </w:r>
      <w:r>
        <w:rPr>
          <w:b/>
          <w:bCs/>
          <w:color w:val="000000"/>
          <w:sz w:val="24"/>
          <w:szCs w:val="24"/>
        </w:rPr>
        <w:t xml:space="preserve"> opodatkowaniu VAT będzie podlegało tylko takie świadczenie, w przypadku którego istnieje konsument, tj. odbiorca świadczenia odnoszący z niego choćby potencjalną korzyść</w:t>
      </w:r>
      <w:r>
        <w:rPr>
          <w:color w:val="000000"/>
          <w:sz w:val="24"/>
          <w:szCs w:val="24"/>
        </w:rPr>
        <w:t xml:space="preserve">. </w:t>
      </w:r>
    </w:p>
    <w:p w:rsidR="004E59F4" w:rsidRDefault="00273D75">
      <w:pPr>
        <w:spacing w:line="300" w:lineRule="auto"/>
        <w:jc w:val="both"/>
      </w:pPr>
      <w:r>
        <w:rPr>
          <w:color w:val="000000"/>
          <w:sz w:val="24"/>
          <w:szCs w:val="24"/>
        </w:rPr>
        <w:t xml:space="preserve">Ponadto, </w:t>
      </w:r>
      <w:r>
        <w:rPr>
          <w:b/>
          <w:bCs/>
          <w:color w:val="000000"/>
          <w:sz w:val="24"/>
          <w:szCs w:val="24"/>
        </w:rPr>
        <w:t>musi istnieć bezpośredni związek pomiędzy świadczoną usługą i otrzymanym wynagrodzeniem,</w:t>
      </w:r>
      <w:r>
        <w:rPr>
          <w:color w:val="000000"/>
          <w:sz w:val="24"/>
          <w:szCs w:val="24"/>
        </w:rPr>
        <w:t xml:space="preserve"> w ten sposób, że zapłacone kwoty stanowią rzeczywiste wynagrodzenie za usługę świadczoną w ramach stosunku prawnego lub dochodzi do wymiany świadczeń wzajemnych. Otrzymana zapłata powinna być konsekwencją wykonania świadczenia, tj. wynagrodzenie (odpłatność) musi być należne za wykonanie tego świadczenia (por. wyrok TSUE z 08.03.1988 r. w sprawie C-102/86).</w:t>
      </w:r>
    </w:p>
    <w:p w:rsidR="004E59F4" w:rsidRDefault="004E59F4">
      <w:pPr>
        <w:spacing w:line="300" w:lineRule="auto"/>
        <w:jc w:val="both"/>
        <w:rPr>
          <w:b/>
          <w:bCs/>
          <w:color w:val="000000"/>
          <w:sz w:val="12"/>
          <w:szCs w:val="12"/>
        </w:rPr>
      </w:pPr>
    </w:p>
    <w:p w:rsidR="004E59F4" w:rsidRDefault="00273D75">
      <w:pPr>
        <w:spacing w:line="300" w:lineRule="auto"/>
        <w:jc w:val="both"/>
      </w:pPr>
      <w:r>
        <w:rPr>
          <w:color w:val="000000"/>
          <w:sz w:val="24"/>
          <w:szCs w:val="24"/>
        </w:rPr>
        <w:t xml:space="preserve">Jak bowiem wynika z orzecznictwa TSUE, </w:t>
      </w:r>
      <w:r>
        <w:rPr>
          <w:i/>
          <w:iCs/>
          <w:color w:val="000000"/>
          <w:sz w:val="24"/>
          <w:szCs w:val="24"/>
        </w:rPr>
        <w:t xml:space="preserve">"(...) w ramach systemu podatku VAT czynnościami podlegającymi opodatkowaniu są transakcje między stronami, przewidujące zapłatę ceny lub inne wynagrodzenie (...) jeżeli czynność polega jedynie na świadczeniu jednej ze stron, bez bezpośredniego wynagrodzenia, nie ma podstawy opodatkowania, w związku z czym świadczenie takie nie podlega podatkowi VAT </w:t>
      </w:r>
      <w:r w:rsidRPr="0035535A">
        <w:rPr>
          <w:color w:val="000000"/>
          <w:sz w:val="24"/>
          <w:szCs w:val="24"/>
        </w:rPr>
        <w:t>(</w:t>
      </w:r>
      <w:r>
        <w:rPr>
          <w:color w:val="000000"/>
          <w:sz w:val="24"/>
          <w:szCs w:val="24"/>
        </w:rPr>
        <w:t>por. wyrok TSUE z 27.10.2011 r. w sprawie C-93/10).</w:t>
      </w:r>
    </w:p>
    <w:p w:rsidR="004E59F4" w:rsidRDefault="00273D75">
      <w:pPr>
        <w:spacing w:line="300" w:lineRule="auto"/>
        <w:jc w:val="both"/>
        <w:rPr>
          <w:i/>
          <w:iCs/>
          <w:color w:val="000000"/>
          <w:sz w:val="24"/>
          <w:szCs w:val="24"/>
        </w:rPr>
      </w:pPr>
      <w:r>
        <w:rPr>
          <w:color w:val="000000"/>
          <w:sz w:val="24"/>
          <w:szCs w:val="24"/>
        </w:rPr>
        <w:t>Co także istotne, aby świadczenie usług mogło być uznane za "odpłatne" dla celów VAT, nie jest wymagane, „</w:t>
      </w:r>
      <w:r>
        <w:rPr>
          <w:i/>
          <w:iCs/>
          <w:color w:val="000000"/>
          <w:sz w:val="24"/>
          <w:szCs w:val="24"/>
        </w:rPr>
        <w:t xml:space="preserve">aby świadczenie wzajemne za taką usługę było uzyskane bezpośrednio od jej odbiorcy. Świadczenie wzajemne może pochodzić także od osoby trzeciej” </w:t>
      </w:r>
      <w:r>
        <w:rPr>
          <w:color w:val="000000"/>
          <w:sz w:val="24"/>
          <w:szCs w:val="24"/>
        </w:rPr>
        <w:t xml:space="preserve">(por. m.in. wyrok TSUE z 27.03.2014 r. w sprawie C-151/13). </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color w:val="000000"/>
          <w:sz w:val="24"/>
          <w:szCs w:val="24"/>
        </w:rPr>
      </w:pPr>
      <w:r>
        <w:rPr>
          <w:color w:val="000000"/>
          <w:sz w:val="24"/>
          <w:szCs w:val="24"/>
        </w:rPr>
        <w:lastRenderedPageBreak/>
        <w:t>W odniesieniu do danej transakcji</w:t>
      </w:r>
      <w:r>
        <w:rPr>
          <w:b/>
          <w:bCs/>
          <w:color w:val="000000"/>
          <w:sz w:val="24"/>
          <w:szCs w:val="24"/>
        </w:rPr>
        <w:t xml:space="preserve"> musimy jednak każdorazowo badać także aspekt podmiotowy, tj. to, czy dany podmiot zbywający towar lub świadczący usługę działa w konkretnym przypadku jako podatnik VAT, wykonujący działalność gospodarczą.</w:t>
      </w:r>
    </w:p>
    <w:p w:rsidR="004E59F4" w:rsidRDefault="00273D75">
      <w:pPr>
        <w:spacing w:line="300" w:lineRule="auto"/>
        <w:jc w:val="both"/>
        <w:rPr>
          <w:rFonts w:ascii="Calibri" w:hAnsi="Calibri"/>
          <w:color w:val="000000"/>
          <w:sz w:val="24"/>
          <w:szCs w:val="24"/>
        </w:rPr>
      </w:pPr>
      <w:r>
        <w:rPr>
          <w:color w:val="000000"/>
          <w:sz w:val="24"/>
          <w:szCs w:val="24"/>
        </w:rPr>
        <w:t>Zgodnie natomiast z art. 15 ust. 1 ustawy o VAT, podatnikami są osoby prawne, jednostki organizacyjne niemające osobowości prawnej oraz osoby fizyczne, wykonujące samodzielnie działalność gospodarczą, o której mowa w art. 15 ust. 2 ustawy o VAT, bez względu na cel lub rezultat takiej działalności. W myśl ust. 2 powołanego artykułu, działalność gospodarcza obejmuje natomiast wszelką działalność producentów, handlowców lub usługodawców, w tym podmiotów pozyskujących zasoby naturalne oraz rolników, a także działalność osób wykonujących wolne zawody. Działalność gospodarcza obejmuje w szczególności czynności polegające na wykorzystywaniu towarów lub wartości niematerialnych i prawnych w sposób ciągły dla celów zarobkowych.</w:t>
      </w:r>
    </w:p>
    <w:p w:rsidR="004E59F4" w:rsidRDefault="004E59F4">
      <w:pPr>
        <w:spacing w:line="300" w:lineRule="auto"/>
        <w:jc w:val="both"/>
        <w:rPr>
          <w:rFonts w:ascii="Calibri" w:hAnsi="Calibri"/>
          <w:color w:val="000000"/>
          <w:sz w:val="12"/>
          <w:szCs w:val="12"/>
        </w:rPr>
      </w:pPr>
    </w:p>
    <w:p w:rsidR="004E59F4" w:rsidRDefault="00273D75">
      <w:pPr>
        <w:spacing w:line="300" w:lineRule="auto"/>
        <w:jc w:val="both"/>
        <w:rPr>
          <w:rFonts w:ascii="Calibri" w:hAnsi="Calibri"/>
          <w:color w:val="000000"/>
          <w:sz w:val="24"/>
          <w:szCs w:val="24"/>
        </w:rPr>
      </w:pPr>
      <w:r>
        <w:rPr>
          <w:color w:val="000000"/>
          <w:sz w:val="24"/>
          <w:szCs w:val="24"/>
        </w:rPr>
        <w:t>Jednakże, w tym kontekście,</w:t>
      </w:r>
      <w:r>
        <w:rPr>
          <w:b/>
          <w:bCs/>
          <w:color w:val="000000"/>
          <w:sz w:val="24"/>
          <w:szCs w:val="24"/>
        </w:rPr>
        <w:t xml:space="preserve"> w przypadku podmiotów jakimi są jednostki samorządu terytorialnego, pod uwagę należy brać dodatkowo art. 15 ust. 6 powołanej ustawy. </w:t>
      </w:r>
    </w:p>
    <w:p w:rsidR="004E59F4" w:rsidRDefault="00273D75">
      <w:pPr>
        <w:spacing w:line="300" w:lineRule="auto"/>
        <w:jc w:val="both"/>
        <w:rPr>
          <w:rFonts w:ascii="Calibri" w:hAnsi="Calibri"/>
          <w:color w:val="000000"/>
          <w:sz w:val="24"/>
          <w:szCs w:val="24"/>
        </w:rPr>
      </w:pPr>
      <w:r>
        <w:rPr>
          <w:color w:val="000000"/>
          <w:sz w:val="24"/>
          <w:szCs w:val="24"/>
        </w:rPr>
        <w:t xml:space="preserve">Na podstawie tego przepisu, </w:t>
      </w:r>
      <w:r>
        <w:rPr>
          <w:b/>
          <w:bCs/>
          <w:color w:val="000000"/>
          <w:sz w:val="24"/>
          <w:szCs w:val="24"/>
        </w:rPr>
        <w:t>nie uznaje się za podatnika organów władzy publicznej</w:t>
      </w:r>
      <w:r>
        <w:rPr>
          <w:color w:val="000000"/>
          <w:sz w:val="24"/>
          <w:szCs w:val="24"/>
        </w:rPr>
        <w:t xml:space="preserve"> oraz urzędów obsługujących te organy </w:t>
      </w:r>
      <w:r>
        <w:rPr>
          <w:b/>
          <w:bCs/>
          <w:color w:val="000000"/>
          <w:sz w:val="24"/>
          <w:szCs w:val="24"/>
        </w:rPr>
        <w:t>w zakresie realizowanych zadań nałożonych odrębnymi przepisami prawa, dla realizacji których zostały one powołane</w:t>
      </w:r>
      <w:r>
        <w:rPr>
          <w:color w:val="000000"/>
          <w:sz w:val="24"/>
          <w:szCs w:val="24"/>
        </w:rPr>
        <w:t>, z wyłączeniem czynności wykonywanych na podstawie zawartych umów cywilnoprawnych. Powołany przepis stanowić ma implementację art. 13 ust. 1 Dyrektywy VAT, a poprzednio art. 4 ust. 5 tzw. VI Dyrektywy, tj. Szóstej Dyrektywy Rady z dnia 17 maja 1977 r. w sprawie harmonizacji ustawodawstw Państw Członkowskich w odniesieniu do podatków obrotowych - wspólny system podatku od wartości dodanej: ujednolicona podstawa wymiaru podatku (77/388/EWG) (Dz.U.UE.L.1977.145.1).</w:t>
      </w:r>
    </w:p>
    <w:p w:rsidR="004E59F4" w:rsidRDefault="00273D75">
      <w:pPr>
        <w:spacing w:line="300" w:lineRule="auto"/>
        <w:jc w:val="both"/>
        <w:rPr>
          <w:rFonts w:ascii="Calibri" w:hAnsi="Calibri"/>
          <w:color w:val="000000"/>
          <w:sz w:val="24"/>
          <w:szCs w:val="24"/>
        </w:rPr>
      </w:pPr>
      <w:r>
        <w:rPr>
          <w:color w:val="000000"/>
          <w:sz w:val="24"/>
          <w:szCs w:val="24"/>
        </w:rPr>
        <w:t>Art. 13 ust. 1 Dyrektywy VAT stanowi natomiast, iż "krajowe, regionalne i lokalne organy władzy oraz inne podmioty prawa publicznego nie są uważane za podatników w związku z działalnością, którą podejmują lub transakcjami, których dokonują jako organy władzy publicznej, nawet jeśli pobierają należności, opłaty, składki lub płatności w związku z takimi działaniami lub transakcjami. Jednakże w przypadku gdy podejmują one takie działania lub dokonują takich transakcji, są uważane za podatników w odniesieniu do tych działań lub transakcji, gdyby wykluczenie ich z kategorii podatników prowadziło do znaczących zakłóceń konkurencji. W każdych okolicznościach podmioty prawa publicznego są uważane za podatników w związku z czynnościami określonymi w załączniku I, chyba że niewielka skala tych działań sprawia, że mogą być one pominięte.</w:t>
      </w:r>
    </w:p>
    <w:p w:rsidR="004E59F4" w:rsidRDefault="00273D75">
      <w:pPr>
        <w:spacing w:line="300" w:lineRule="auto"/>
        <w:jc w:val="both"/>
        <w:rPr>
          <w:rFonts w:ascii="Calibri" w:hAnsi="Calibri"/>
          <w:color w:val="000000"/>
          <w:sz w:val="24"/>
          <w:szCs w:val="24"/>
        </w:rPr>
      </w:pPr>
      <w:r>
        <w:rPr>
          <w:color w:val="000000"/>
          <w:sz w:val="24"/>
          <w:szCs w:val="24"/>
        </w:rPr>
        <w:t>Co istotne, w załączniku I wymieniono natomiast m.in. przewóz osób.</w:t>
      </w:r>
    </w:p>
    <w:p w:rsidR="004E59F4" w:rsidRDefault="00273D75">
      <w:pPr>
        <w:spacing w:line="300" w:lineRule="auto"/>
        <w:jc w:val="both"/>
      </w:pPr>
      <w:r>
        <w:rPr>
          <w:color w:val="000000"/>
          <w:sz w:val="24"/>
          <w:szCs w:val="24"/>
        </w:rPr>
        <w:lastRenderedPageBreak/>
        <w:t>Ponadto, zauważyć należy, iż w zakresie, w jakim art. 15 ust. 6 ustawy o VAT nakazuje traktować jako podatników VAT organy władzy publicznej w zakresie czynności wykonywanych na podstawie zawartych umów cywilnoprawnych jest on niezgodny z Dyrektywą VAT. W art. 13 ust. 1 Dyrektywa VAT nie formułuje bowiem takiej przesłanki (tj. forma cywilnoprawna aktywności organu władzy), ale zawiera ona odniesienie do działań lub transakcji organów władzy, w przypadku których wykluczenie tych organów z kategorii podatników prowadziło do znaczących zakłóceń konkurencji.</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b/>
          <w:bCs/>
          <w:color w:val="000000"/>
          <w:sz w:val="24"/>
          <w:szCs w:val="24"/>
        </w:rPr>
      </w:pPr>
      <w:r>
        <w:rPr>
          <w:b/>
          <w:bCs/>
          <w:color w:val="000000"/>
          <w:sz w:val="24"/>
          <w:szCs w:val="24"/>
        </w:rPr>
        <w:t>Odnosząc powyższe do analizowanej sytuacji, nie powinno ulegać wątpliwości, iż jednostka samorządu terytorialnego (gmina, powiat, województwo) posiada status organu władzy publicznej dla celów stosowania ww. regulacji.</w:t>
      </w:r>
    </w:p>
    <w:p w:rsidR="004E59F4" w:rsidRDefault="00273D75">
      <w:pPr>
        <w:spacing w:line="300" w:lineRule="auto"/>
        <w:jc w:val="both"/>
        <w:rPr>
          <w:rFonts w:ascii="Calibri" w:hAnsi="Calibri"/>
          <w:color w:val="000000"/>
          <w:sz w:val="24"/>
          <w:szCs w:val="24"/>
        </w:rPr>
      </w:pPr>
      <w:r>
        <w:rPr>
          <w:color w:val="000000"/>
          <w:sz w:val="24"/>
          <w:szCs w:val="24"/>
        </w:rPr>
        <w:t xml:space="preserve">W naszej ocenie, to samo odnieść należy do związków międzygminnych oraz związków powiatów. Zgodnie bowiem z art. 64 ust. 1 USG,  w celu wspólnego wykonywania zadań publicznych gminy mogą tworzyć związki międzygminne. </w:t>
      </w:r>
    </w:p>
    <w:p w:rsidR="004E59F4" w:rsidRDefault="00273D75">
      <w:pPr>
        <w:spacing w:line="300" w:lineRule="auto"/>
        <w:jc w:val="both"/>
        <w:rPr>
          <w:rFonts w:ascii="Calibri" w:hAnsi="Calibri"/>
          <w:color w:val="000000"/>
          <w:sz w:val="24"/>
          <w:szCs w:val="24"/>
        </w:rPr>
      </w:pPr>
      <w:r>
        <w:rPr>
          <w:color w:val="000000"/>
          <w:sz w:val="24"/>
          <w:szCs w:val="24"/>
        </w:rPr>
        <w:t xml:space="preserve">Związek wykonuje zadania publiczne w imieniu własnym i na własną odpowiedzialność (art.  65 ust. 1 tej ustawy). Posiada on osobowość prawną (ust. 2 powołanego artykułu). </w:t>
      </w:r>
    </w:p>
    <w:p w:rsidR="004E59F4" w:rsidRDefault="00273D75">
      <w:pPr>
        <w:spacing w:line="300" w:lineRule="auto"/>
        <w:jc w:val="both"/>
        <w:rPr>
          <w:rFonts w:ascii="Calibri" w:hAnsi="Calibri"/>
          <w:color w:val="000000"/>
          <w:sz w:val="24"/>
          <w:szCs w:val="24"/>
        </w:rPr>
      </w:pPr>
      <w:r>
        <w:rPr>
          <w:color w:val="000000"/>
          <w:sz w:val="24"/>
          <w:szCs w:val="24"/>
        </w:rPr>
        <w:t>Analogicznie jest w przypadku związków powiatów (art. 65 i dalszej USP).</w:t>
      </w:r>
    </w:p>
    <w:p w:rsidR="004E59F4" w:rsidRDefault="004E59F4">
      <w:pPr>
        <w:spacing w:line="300" w:lineRule="auto"/>
        <w:jc w:val="both"/>
        <w:rPr>
          <w:rFonts w:ascii="Calibri" w:hAnsi="Calibri"/>
          <w:color w:val="000000"/>
          <w:sz w:val="12"/>
          <w:szCs w:val="12"/>
        </w:rPr>
      </w:pPr>
    </w:p>
    <w:p w:rsidR="004E59F4" w:rsidRDefault="00273D75">
      <w:pPr>
        <w:spacing w:line="300" w:lineRule="auto"/>
        <w:jc w:val="both"/>
      </w:pPr>
      <w:r>
        <w:rPr>
          <w:color w:val="000000"/>
          <w:sz w:val="24"/>
          <w:szCs w:val="24"/>
        </w:rPr>
        <w:t>Inaczej jest natomiast w przypadku porozumień międzygminnych oraz porozumień między powiatami. Stosownie do art. 74 ust. 1 USG, gminy mogą zawierać porozumienia międzygminne w sprawie powierzenia jednej z nich określonych przez nie zadań publicznych.</w:t>
      </w:r>
    </w:p>
    <w:p w:rsidR="004E59F4" w:rsidRDefault="00273D75">
      <w:pPr>
        <w:spacing w:line="300" w:lineRule="auto"/>
        <w:jc w:val="both"/>
        <w:rPr>
          <w:rFonts w:ascii="Calibri" w:hAnsi="Calibri"/>
          <w:color w:val="000000"/>
          <w:sz w:val="24"/>
          <w:szCs w:val="24"/>
        </w:rPr>
      </w:pPr>
      <w:r>
        <w:rPr>
          <w:color w:val="000000"/>
          <w:sz w:val="24"/>
          <w:szCs w:val="24"/>
        </w:rPr>
        <w:t>Natomiast w myśl ust. 2 ww. artykułu, gmina wykonująca zadania publiczne objęte porozumieniem przejmuje prawa i obowiązki pozostałych gmin, związane z powierzonymi jej zadaniami, a gminy te mają obowiązek udziału w kosztach realizacji powierzonego zadania.</w:t>
      </w:r>
    </w:p>
    <w:p w:rsidR="004E59F4" w:rsidRDefault="00273D75">
      <w:pPr>
        <w:spacing w:line="300" w:lineRule="auto"/>
        <w:jc w:val="both"/>
        <w:rPr>
          <w:rFonts w:ascii="Calibri" w:hAnsi="Calibri"/>
          <w:color w:val="000000"/>
          <w:sz w:val="24"/>
          <w:szCs w:val="24"/>
        </w:rPr>
      </w:pPr>
      <w:r>
        <w:rPr>
          <w:color w:val="000000"/>
          <w:sz w:val="24"/>
          <w:szCs w:val="24"/>
        </w:rPr>
        <w:t xml:space="preserve">Porozumienie takie stanowi przykład umowy publicznoprawnej. Na mocy porozumienia nie tworzy się zatem nowej struktury organizacyjnej. Podmiotem realizującym zadanie publiczne w ramach porozumienia międzygminnego jest gmina przejmująca to zadanie do wykonania, która wykonuje je w swoim imieniu. Zadanie to przestaje należeć do gminy powierzającej (por. J. Jagoda, </w:t>
      </w:r>
      <w:r>
        <w:rPr>
          <w:i/>
          <w:iCs/>
          <w:color w:val="000000"/>
          <w:sz w:val="24"/>
          <w:szCs w:val="24"/>
        </w:rPr>
        <w:t>Porozumienie międzygminne a wykonywanie zadań w trybie zamówienia in-</w:t>
      </w:r>
      <w:proofErr w:type="spellStart"/>
      <w:r>
        <w:rPr>
          <w:i/>
          <w:iCs/>
          <w:color w:val="000000"/>
          <w:sz w:val="24"/>
          <w:szCs w:val="24"/>
        </w:rPr>
        <w:t>house</w:t>
      </w:r>
      <w:proofErr w:type="spellEnd"/>
      <w:r>
        <w:rPr>
          <w:color w:val="000000"/>
          <w:sz w:val="24"/>
          <w:szCs w:val="24"/>
        </w:rPr>
        <w:t>, Samorząd Terytorialny, 2019, nr 6, s. 61-71).</w:t>
      </w:r>
    </w:p>
    <w:p w:rsidR="004E59F4" w:rsidRDefault="00273D75">
      <w:pPr>
        <w:spacing w:line="300" w:lineRule="auto"/>
        <w:jc w:val="both"/>
        <w:rPr>
          <w:rFonts w:ascii="Calibri" w:hAnsi="Calibri"/>
          <w:color w:val="000000"/>
          <w:sz w:val="24"/>
          <w:szCs w:val="24"/>
        </w:rPr>
      </w:pPr>
      <w:r>
        <w:rPr>
          <w:color w:val="000000"/>
          <w:sz w:val="24"/>
          <w:szCs w:val="24"/>
        </w:rPr>
        <w:t>Analogicznie jest w przypadku związku porozumień powiatów (por. art. 73 ust. 1 USP: „Powiaty mogą zawierać porozumienia w sprawie powierzenia jednemu z nich prowadzenia zadań publicznych”).</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b/>
          <w:bCs/>
          <w:color w:val="000000"/>
          <w:sz w:val="24"/>
          <w:szCs w:val="24"/>
        </w:rPr>
      </w:pPr>
      <w:r>
        <w:rPr>
          <w:b/>
          <w:bCs/>
          <w:color w:val="000000"/>
          <w:sz w:val="24"/>
          <w:szCs w:val="24"/>
        </w:rPr>
        <w:lastRenderedPageBreak/>
        <w:t xml:space="preserve">Jednakże, w świetle regulacji VAT, wyłączenie organów władzy z kategorii podatników ma miejsce przy spełnieniu łącznie dwóch przesłanek: </w:t>
      </w:r>
    </w:p>
    <w:p w:rsidR="004E59F4" w:rsidRDefault="00273D75">
      <w:pPr>
        <w:spacing w:line="300" w:lineRule="auto"/>
        <w:jc w:val="both"/>
        <w:rPr>
          <w:rFonts w:ascii="Calibri" w:hAnsi="Calibri"/>
          <w:color w:val="000000"/>
          <w:sz w:val="24"/>
          <w:szCs w:val="24"/>
        </w:rPr>
      </w:pPr>
      <w:r>
        <w:rPr>
          <w:color w:val="000000"/>
          <w:sz w:val="24"/>
          <w:szCs w:val="24"/>
        </w:rPr>
        <w:t>1) podmiotowej, tj. wyłączenie odnosi się tylko do ww. kategorii podmiotów,</w:t>
      </w:r>
    </w:p>
    <w:p w:rsidR="004E59F4" w:rsidRDefault="00273D75">
      <w:pPr>
        <w:spacing w:line="300" w:lineRule="auto"/>
        <w:jc w:val="both"/>
        <w:rPr>
          <w:rFonts w:ascii="Calibri" w:hAnsi="Calibri"/>
          <w:color w:val="000000"/>
          <w:sz w:val="24"/>
          <w:szCs w:val="24"/>
        </w:rPr>
      </w:pPr>
      <w:r>
        <w:rPr>
          <w:color w:val="000000"/>
          <w:sz w:val="24"/>
          <w:szCs w:val="24"/>
        </w:rPr>
        <w:t>Przy czym, co także istotne w analizowanej sprawie, art. 13 ust. 1 Dyrektywy VAT w swojej warstwie podmiotowej odnosi się także do „innych podmiotów prawa publicznego”.</w:t>
      </w:r>
    </w:p>
    <w:p w:rsidR="004E59F4" w:rsidRDefault="00273D75">
      <w:pPr>
        <w:spacing w:line="300" w:lineRule="auto"/>
        <w:jc w:val="both"/>
        <w:rPr>
          <w:rFonts w:ascii="Calibri" w:hAnsi="Calibri"/>
          <w:color w:val="000000"/>
          <w:sz w:val="24"/>
          <w:szCs w:val="24"/>
        </w:rPr>
      </w:pPr>
      <w:r>
        <w:rPr>
          <w:color w:val="000000"/>
          <w:sz w:val="24"/>
          <w:szCs w:val="24"/>
        </w:rPr>
        <w:t>2) przedmiotowej, ponieważ obejmuje tylko prowadzenie czynności z zakresu władztwa publicznego (tj. „czynności, których dokonują jako organy władzy publicznej”).</w:t>
      </w:r>
    </w:p>
    <w:p w:rsidR="004E59F4" w:rsidRDefault="00273D75">
      <w:pPr>
        <w:spacing w:line="300" w:lineRule="auto"/>
        <w:jc w:val="both"/>
        <w:rPr>
          <w:rFonts w:ascii="Calibri" w:hAnsi="Calibri"/>
          <w:color w:val="000000"/>
          <w:sz w:val="24"/>
          <w:szCs w:val="24"/>
        </w:rPr>
      </w:pPr>
      <w:r>
        <w:rPr>
          <w:color w:val="000000"/>
          <w:sz w:val="24"/>
          <w:szCs w:val="24"/>
        </w:rPr>
        <w:t>Chodzi tu zatem o czynności wykonywane przez podmiot prawa publicznego działający w charakterze organu władzy publicznej.</w:t>
      </w:r>
    </w:p>
    <w:p w:rsidR="004E59F4" w:rsidRDefault="00273D75">
      <w:pPr>
        <w:spacing w:line="300" w:lineRule="auto"/>
        <w:jc w:val="both"/>
      </w:pPr>
      <w:r>
        <w:rPr>
          <w:color w:val="000000"/>
          <w:sz w:val="24"/>
          <w:szCs w:val="24"/>
        </w:rPr>
        <w:t xml:space="preserve">Podmioty te, </w:t>
      </w:r>
      <w:r>
        <w:rPr>
          <w:b/>
          <w:bCs/>
          <w:color w:val="000000"/>
          <w:sz w:val="24"/>
          <w:szCs w:val="24"/>
        </w:rPr>
        <w:t xml:space="preserve">aby korzystać z wyłączenia z grona podatników VAT, nie mogą prowadzić działalności, która byłaby wykonywana przez nie na tych samych warunkach prawnych, co działalność wykonywana przez prywatnych przedsiębiorców, a byłaby wobec nich konkurencyjna w znaczącym stopniu </w:t>
      </w:r>
      <w:r>
        <w:rPr>
          <w:color w:val="000000"/>
          <w:sz w:val="24"/>
          <w:szCs w:val="24"/>
        </w:rPr>
        <w:t>(por. postanowienie TSUE z 20.03.2014 r. w sprawie C-72/13).</w:t>
      </w:r>
    </w:p>
    <w:p w:rsidR="004E59F4" w:rsidRDefault="004E59F4">
      <w:pPr>
        <w:spacing w:line="300" w:lineRule="auto"/>
        <w:jc w:val="both"/>
        <w:rPr>
          <w:rFonts w:ascii="Calibri" w:hAnsi="Calibri"/>
          <w:color w:val="000000"/>
          <w:sz w:val="16"/>
          <w:szCs w:val="16"/>
        </w:rPr>
      </w:pPr>
    </w:p>
    <w:p w:rsidR="004E59F4" w:rsidRDefault="00273D75">
      <w:pPr>
        <w:spacing w:line="300" w:lineRule="auto"/>
        <w:jc w:val="both"/>
      </w:pPr>
      <w:r>
        <w:rPr>
          <w:color w:val="000000"/>
          <w:sz w:val="24"/>
          <w:szCs w:val="24"/>
        </w:rPr>
        <w:t>Na gruncie ww. regulacji w orzecznictwie wskazuje się również, iż istotne jest to, czy strony danego stosunku prawnego mają pełną swobodę ustalania jego treści, czy też swoboda ta ograniczona jest przez przepisy powszechnie obowiązującego prawa administracyjnego (por. wyrok NSA z 06.11.2014 r., sygn. akt I FSK 1644/13). Ponadto, przyjęta przez organ władzy publicznej forma umowy sama nie przesądza o tym, czy działa on w sferze administrowania, czy też należy go postrzegać jako uczestnika obrotu gospodarczego objętego zakresem VAT. Nie każda umowa prawa cywilnego zawarta przez organ władzy publicznej automatycznie nadaje zatem temu organowi status podatnika VAT, ale tylko taka, która jest zawierana na warunkach znamiennych dla obrotu gospodarczego, w granicach swobody umów, a więc organ władzy publicznej występuje przy jej zawieraniu bez związku ze sferą imperium, w sposób typowy dla usługodawcy, producenta czy handlowca (por. wyrok WSA w Lublinie z 03.03.2017 r., sygn. akt I SA/Lu 1/17,</w:t>
      </w:r>
      <w:r>
        <w:rPr>
          <w:i/>
          <w:iCs/>
          <w:color w:val="000000"/>
          <w:sz w:val="24"/>
          <w:szCs w:val="24"/>
        </w:rPr>
        <w:t xml:space="preserve"> orzeczenie prawomocne</w:t>
      </w:r>
      <w:r>
        <w:rPr>
          <w:color w:val="000000"/>
          <w:sz w:val="24"/>
          <w:szCs w:val="24"/>
        </w:rPr>
        <w:t>).</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color w:val="000000"/>
          <w:sz w:val="24"/>
          <w:szCs w:val="24"/>
        </w:rPr>
      </w:pPr>
      <w:r>
        <w:rPr>
          <w:color w:val="000000"/>
          <w:sz w:val="24"/>
          <w:szCs w:val="24"/>
        </w:rPr>
        <w:t xml:space="preserve">W analizowanej sytuacji </w:t>
      </w:r>
      <w:r>
        <w:rPr>
          <w:b/>
          <w:bCs/>
          <w:color w:val="000000"/>
          <w:sz w:val="24"/>
          <w:szCs w:val="24"/>
        </w:rPr>
        <w:t xml:space="preserve">celem konkursu grantowego </w:t>
      </w:r>
      <w:r>
        <w:rPr>
          <w:color w:val="000000"/>
          <w:sz w:val="24"/>
          <w:szCs w:val="24"/>
        </w:rPr>
        <w:t xml:space="preserve">ogłoszonego przez PFRON </w:t>
      </w:r>
      <w:r>
        <w:rPr>
          <w:b/>
          <w:bCs/>
          <w:color w:val="000000"/>
          <w:sz w:val="24"/>
          <w:szCs w:val="24"/>
        </w:rPr>
        <w:t>jest</w:t>
      </w:r>
      <w:r>
        <w:rPr>
          <w:color w:val="000000"/>
          <w:sz w:val="24"/>
          <w:szCs w:val="24"/>
        </w:rPr>
        <w:t xml:space="preserve"> w szczególności </w:t>
      </w:r>
      <w:r>
        <w:rPr>
          <w:b/>
          <w:bCs/>
          <w:color w:val="000000"/>
          <w:sz w:val="24"/>
          <w:szCs w:val="24"/>
        </w:rPr>
        <w:t>ułatwienie integracji społeczno-zawodowej</w:t>
      </w:r>
      <w:r>
        <w:rPr>
          <w:color w:val="000000"/>
          <w:sz w:val="24"/>
          <w:szCs w:val="24"/>
        </w:rPr>
        <w:t xml:space="preserve"> osób z potrzebami wsparcia w zakresie mobilności</w:t>
      </w:r>
      <w:r>
        <w:rPr>
          <w:b/>
          <w:bCs/>
          <w:color w:val="000000"/>
          <w:sz w:val="24"/>
          <w:szCs w:val="24"/>
        </w:rPr>
        <w:t xml:space="preserve"> poprzez zapewnienie</w:t>
      </w:r>
      <w:r>
        <w:rPr>
          <w:color w:val="000000"/>
          <w:sz w:val="24"/>
          <w:szCs w:val="24"/>
        </w:rPr>
        <w:t xml:space="preserve"> przez jednostki samorządu terytorialnego </w:t>
      </w:r>
      <w:r>
        <w:rPr>
          <w:b/>
          <w:bCs/>
          <w:color w:val="000000"/>
          <w:sz w:val="24"/>
          <w:szCs w:val="24"/>
        </w:rPr>
        <w:t xml:space="preserve">usług indywidualnego transportu door-to-door. </w:t>
      </w:r>
    </w:p>
    <w:p w:rsidR="004E59F4" w:rsidRDefault="00273D75">
      <w:pPr>
        <w:spacing w:line="300" w:lineRule="auto"/>
        <w:jc w:val="both"/>
        <w:rPr>
          <w:rFonts w:ascii="Calibri" w:hAnsi="Calibri"/>
          <w:color w:val="000000"/>
          <w:sz w:val="24"/>
          <w:szCs w:val="24"/>
        </w:rPr>
      </w:pPr>
      <w:r>
        <w:rPr>
          <w:color w:val="000000"/>
          <w:sz w:val="24"/>
          <w:szCs w:val="24"/>
        </w:rPr>
        <w:t xml:space="preserve">Nie ulega zatem wątpliwości, iż </w:t>
      </w:r>
      <w:r>
        <w:rPr>
          <w:b/>
          <w:bCs/>
          <w:color w:val="000000"/>
          <w:sz w:val="24"/>
          <w:szCs w:val="24"/>
        </w:rPr>
        <w:t>bez względu na przyjęty model (wariant) wykonywania „usługi transportowej door-to-door”, w rezultacie wdrożenia tej usługi, określone osoby</w:t>
      </w:r>
      <w:r>
        <w:rPr>
          <w:color w:val="000000"/>
          <w:sz w:val="24"/>
          <w:szCs w:val="24"/>
        </w:rPr>
        <w:t xml:space="preserve"> fizyczne (osoby z potrzebą wsparcia w zakresie mobilności) </w:t>
      </w:r>
      <w:r>
        <w:rPr>
          <w:b/>
          <w:bCs/>
          <w:color w:val="000000"/>
          <w:sz w:val="24"/>
          <w:szCs w:val="24"/>
        </w:rPr>
        <w:t xml:space="preserve">będą ostatecznymi jej </w:t>
      </w:r>
      <w:r>
        <w:rPr>
          <w:b/>
          <w:bCs/>
          <w:color w:val="000000"/>
          <w:sz w:val="24"/>
          <w:szCs w:val="24"/>
        </w:rPr>
        <w:lastRenderedPageBreak/>
        <w:t>beneficjentami,</w:t>
      </w:r>
      <w:r>
        <w:rPr>
          <w:color w:val="000000"/>
          <w:sz w:val="24"/>
          <w:szCs w:val="24"/>
        </w:rPr>
        <w:t xml:space="preserve"> tj. zostanie im udzielona pomoc w wydostaniu się z mieszkania lub innego miejsca, zapewniony będzie im przejazd, jak też pomoc w dotarciu do miejsca docelowego. </w:t>
      </w:r>
    </w:p>
    <w:p w:rsidR="004E59F4" w:rsidRDefault="00273D75">
      <w:pPr>
        <w:spacing w:line="300" w:lineRule="auto"/>
        <w:jc w:val="both"/>
      </w:pPr>
      <w:r>
        <w:rPr>
          <w:b/>
          <w:bCs/>
          <w:color w:val="000000"/>
          <w:sz w:val="24"/>
          <w:szCs w:val="24"/>
        </w:rPr>
        <w:t xml:space="preserve">Istotne jest jednak to, czy świadczonej usłudze odpowiadać będzie świadczenie wzajemne </w:t>
      </w:r>
      <w:r>
        <w:rPr>
          <w:color w:val="000000"/>
          <w:sz w:val="24"/>
          <w:szCs w:val="24"/>
        </w:rPr>
        <w:t>(tj. wynagrodzenie/odpłatność za usługę), a nade wszystko to, czy przekazane przez PFRON na rzecz JST środki finansowe („dotacja”) uznać należy za takie wynagrodzenie (w przypadku braku odpłatności ze strony ww. osób), czy też część tego wynagrodzenia (w przypadku odpłatności ze strony ww. osób) za te usługi.</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color w:val="000000"/>
          <w:sz w:val="24"/>
          <w:szCs w:val="24"/>
        </w:rPr>
      </w:pPr>
      <w:r>
        <w:rPr>
          <w:color w:val="000000"/>
          <w:sz w:val="24"/>
          <w:szCs w:val="24"/>
        </w:rPr>
        <w:t>W celu rozstrzygnięcia tej kwestii</w:t>
      </w:r>
      <w:r>
        <w:rPr>
          <w:b/>
          <w:bCs/>
          <w:color w:val="000000"/>
          <w:sz w:val="24"/>
          <w:szCs w:val="24"/>
        </w:rPr>
        <w:t xml:space="preserve"> należy odwołać się do przepisów regulujących zagadnienie podstawy opodatkowania w podatku VAT.</w:t>
      </w:r>
    </w:p>
    <w:p w:rsidR="004E59F4" w:rsidRDefault="00273D75">
      <w:pPr>
        <w:spacing w:line="300" w:lineRule="auto"/>
        <w:jc w:val="both"/>
        <w:rPr>
          <w:rFonts w:ascii="Calibri" w:hAnsi="Calibri"/>
          <w:color w:val="000000"/>
          <w:sz w:val="24"/>
          <w:szCs w:val="24"/>
        </w:rPr>
      </w:pPr>
      <w:r>
        <w:rPr>
          <w:color w:val="000000"/>
          <w:sz w:val="24"/>
          <w:szCs w:val="24"/>
        </w:rPr>
        <w:t xml:space="preserve">W świetle art. 29a ust. 1 ustawy o VAT, podstawą opodatkowania, z zastrzeżeniem ust. 2-5, art. 30a-30c, art. 32, art. 119 oraz art. 120 ust. 4 i 5, jest </w:t>
      </w:r>
      <w:r>
        <w:rPr>
          <w:b/>
          <w:bCs/>
          <w:color w:val="000000"/>
          <w:sz w:val="24"/>
          <w:szCs w:val="24"/>
        </w:rPr>
        <w:t>wszystko, co stanowi zapłatę, którą dokonujący dostawy towarów lub usługodawca otrzymał lub ma otrzymać z tytułu sprzedaży od nabywcy, usługobiorcy lub osoby trzeciej, włącznie z otrzymanymi dotacjami, subwencjami i innymi dopłatami o podobnym charakterze mającymi bezpośredni wpływ na cenę towarów dostarczanych lub usług świadczonych przez podatnika.</w:t>
      </w:r>
    </w:p>
    <w:p w:rsidR="004E59F4" w:rsidRDefault="00273D75">
      <w:pPr>
        <w:spacing w:line="300" w:lineRule="auto"/>
        <w:jc w:val="both"/>
        <w:rPr>
          <w:rFonts w:ascii="Calibri" w:hAnsi="Calibri"/>
          <w:color w:val="000000"/>
          <w:sz w:val="24"/>
          <w:szCs w:val="24"/>
        </w:rPr>
      </w:pPr>
      <w:r>
        <w:rPr>
          <w:color w:val="000000"/>
          <w:sz w:val="24"/>
          <w:szCs w:val="24"/>
        </w:rPr>
        <w:t>Ponadto, w myśl art. 29a ust. 6 ww. ustawy, podstawa opodatkowania obejmuje:</w:t>
      </w:r>
    </w:p>
    <w:p w:rsidR="004E59F4" w:rsidRDefault="00273D75">
      <w:pPr>
        <w:numPr>
          <w:ilvl w:val="0"/>
          <w:numId w:val="7"/>
        </w:numPr>
        <w:spacing w:line="300" w:lineRule="auto"/>
        <w:jc w:val="both"/>
        <w:rPr>
          <w:rFonts w:ascii="Calibri" w:hAnsi="Calibri"/>
          <w:color w:val="000000"/>
          <w:sz w:val="24"/>
          <w:szCs w:val="24"/>
        </w:rPr>
      </w:pPr>
      <w:r>
        <w:rPr>
          <w:color w:val="000000"/>
          <w:sz w:val="24"/>
          <w:szCs w:val="24"/>
        </w:rPr>
        <w:t>podatki, cła, opłaty i inne należności o podobnym charakterze, z wyjątkiem kwoty podatku;</w:t>
      </w:r>
    </w:p>
    <w:p w:rsidR="004E59F4" w:rsidRDefault="00273D75">
      <w:pPr>
        <w:numPr>
          <w:ilvl w:val="0"/>
          <w:numId w:val="7"/>
        </w:numPr>
        <w:spacing w:line="300" w:lineRule="auto"/>
        <w:jc w:val="both"/>
        <w:rPr>
          <w:rFonts w:ascii="Calibri" w:hAnsi="Calibri"/>
          <w:color w:val="000000"/>
          <w:sz w:val="24"/>
          <w:szCs w:val="24"/>
        </w:rPr>
      </w:pPr>
      <w:r>
        <w:rPr>
          <w:color w:val="000000"/>
          <w:sz w:val="24"/>
          <w:szCs w:val="24"/>
        </w:rPr>
        <w:t>koszty dodatkowe, takie jak prowizje, koszty opakowania, transportu i ubezpieczenia, pobierane przez dokonującego dostawy lub usługodawcę od nabywcy lub usługobiorcy.</w:t>
      </w:r>
    </w:p>
    <w:p w:rsidR="004E59F4" w:rsidRDefault="004E59F4">
      <w:pPr>
        <w:spacing w:line="300" w:lineRule="auto"/>
        <w:jc w:val="both"/>
        <w:rPr>
          <w:rFonts w:ascii="Calibri" w:hAnsi="Calibri"/>
          <w:color w:val="000000"/>
          <w:sz w:val="20"/>
          <w:szCs w:val="20"/>
        </w:rPr>
      </w:pPr>
    </w:p>
    <w:p w:rsidR="004E59F4" w:rsidRDefault="00273D75">
      <w:pPr>
        <w:spacing w:line="300" w:lineRule="auto"/>
        <w:jc w:val="both"/>
        <w:rPr>
          <w:rFonts w:ascii="Calibri" w:hAnsi="Calibri"/>
          <w:color w:val="000000"/>
          <w:sz w:val="24"/>
          <w:szCs w:val="24"/>
        </w:rPr>
      </w:pPr>
      <w:r>
        <w:rPr>
          <w:color w:val="000000"/>
          <w:sz w:val="24"/>
          <w:szCs w:val="24"/>
        </w:rPr>
        <w:t>Przepis art. 29a ust. 1 ustawy o VAT ma być z kolei odpowiednikiem art. 73 Dyrektywy VAT, zgodnie z którym podstawa opodatkowania obejmuje wszystko, co stanowi zapłatę otrzymaną lub którą dostawca lub usługodawca otrzyma w zamian za dostawę towarów lub świadczenie usług od nabywcy, usługobiorcy lub osoby trzeciej, włącznie z subwencjami związanymi bezpośrednio z ceną takiej dostawy lub świadczenia.</w:t>
      </w:r>
    </w:p>
    <w:p w:rsidR="004E59F4" w:rsidRDefault="004E59F4">
      <w:pPr>
        <w:spacing w:line="300" w:lineRule="auto"/>
        <w:jc w:val="both"/>
        <w:rPr>
          <w:rFonts w:ascii="Calibri" w:hAnsi="Calibri"/>
          <w:color w:val="000000"/>
          <w:sz w:val="16"/>
          <w:szCs w:val="16"/>
        </w:rPr>
      </w:pPr>
    </w:p>
    <w:p w:rsidR="004E59F4" w:rsidRDefault="00273D75">
      <w:pPr>
        <w:spacing w:line="300" w:lineRule="auto"/>
        <w:jc w:val="both"/>
      </w:pPr>
      <w:r>
        <w:rPr>
          <w:color w:val="000000"/>
          <w:sz w:val="24"/>
          <w:szCs w:val="24"/>
        </w:rPr>
        <w:t xml:space="preserve">Na gruncie ww. regulacji, z jednej strony, </w:t>
      </w:r>
      <w:r>
        <w:rPr>
          <w:b/>
          <w:bCs/>
          <w:color w:val="000000"/>
          <w:sz w:val="24"/>
          <w:szCs w:val="24"/>
        </w:rPr>
        <w:t>szeroko interpretuje się pojęcie „zapłaty</w:t>
      </w:r>
      <w:r>
        <w:rPr>
          <w:color w:val="000000"/>
          <w:sz w:val="24"/>
          <w:szCs w:val="24"/>
        </w:rPr>
        <w:t xml:space="preserve">, którą dokonujący dostawy towarów lub usługodawca otrzymał lub ma otrzymać z tytułu sprzedaży…". Zapłatą (wynagrodzeniem) jest bowiem wszystko, co otrzymuje sprzedawca w zamian za swoje towary lub usługi, niezależnie od tego, kto jest podmiotem wypłacającym. </w:t>
      </w:r>
      <w:r>
        <w:rPr>
          <w:b/>
          <w:bCs/>
          <w:color w:val="000000"/>
          <w:sz w:val="24"/>
          <w:szCs w:val="24"/>
        </w:rPr>
        <w:t xml:space="preserve">Nie można pozostawiać kwot otrzymywanych przez podatnika poza podatkiem VAT tylko </w:t>
      </w:r>
      <w:r>
        <w:rPr>
          <w:b/>
          <w:bCs/>
          <w:color w:val="000000"/>
          <w:sz w:val="24"/>
          <w:szCs w:val="24"/>
        </w:rPr>
        <w:lastRenderedPageBreak/>
        <w:t xml:space="preserve">dlatego, że wypłacającym wynagrodzenie jest inny podmiot niż bezpośredni nabywca </w:t>
      </w:r>
      <w:r>
        <w:rPr>
          <w:color w:val="000000"/>
          <w:sz w:val="24"/>
          <w:szCs w:val="24"/>
        </w:rPr>
        <w:t xml:space="preserve">(por. m.in. wyrok TSUE z 13.06.2002 r. w sprawie C-353/00). </w:t>
      </w:r>
    </w:p>
    <w:p w:rsidR="004E59F4" w:rsidRDefault="00273D75">
      <w:pPr>
        <w:spacing w:line="300" w:lineRule="auto"/>
        <w:jc w:val="both"/>
      </w:pPr>
      <w:r>
        <w:rPr>
          <w:b/>
          <w:bCs/>
          <w:color w:val="000000"/>
          <w:sz w:val="24"/>
          <w:szCs w:val="24"/>
        </w:rPr>
        <w:t>Z drugiej jednak strony</w:t>
      </w:r>
      <w:r>
        <w:rPr>
          <w:color w:val="000000"/>
          <w:sz w:val="24"/>
          <w:szCs w:val="24"/>
        </w:rPr>
        <w:t>, wynagrodzeniem jest płatność otrzymywana w zamian za towary lub usługi, tj.</w:t>
      </w:r>
      <w:r>
        <w:rPr>
          <w:b/>
          <w:bCs/>
          <w:color w:val="000000"/>
          <w:sz w:val="24"/>
          <w:szCs w:val="24"/>
        </w:rPr>
        <w:t xml:space="preserve"> pomiędzy płatnością a towarem/usługą musi istnieć bezpośredni związek.</w:t>
      </w:r>
      <w:r>
        <w:rPr>
          <w:color w:val="000000"/>
          <w:sz w:val="24"/>
          <w:szCs w:val="24"/>
        </w:rPr>
        <w:t xml:space="preserve"> Ponadto,</w:t>
      </w:r>
      <w:r>
        <w:rPr>
          <w:b/>
          <w:bCs/>
          <w:color w:val="000000"/>
          <w:sz w:val="24"/>
          <w:szCs w:val="24"/>
        </w:rPr>
        <w:t xml:space="preserve"> do podstawy opodatkowania VAT wlicza się tyko takie dotacje</w:t>
      </w:r>
      <w:r>
        <w:rPr>
          <w:color w:val="000000"/>
          <w:sz w:val="24"/>
          <w:szCs w:val="24"/>
        </w:rPr>
        <w:t>, subwencje i inne dopłaty o podobnym charakterze,</w:t>
      </w:r>
      <w:r>
        <w:rPr>
          <w:b/>
          <w:bCs/>
          <w:color w:val="000000"/>
          <w:sz w:val="24"/>
          <w:szCs w:val="24"/>
        </w:rPr>
        <w:t xml:space="preserve"> które mają bezpośredni wpływ na cenę dostarczanych towarów lub świadczonych usług, </w:t>
      </w:r>
      <w:r>
        <w:rPr>
          <w:color w:val="000000"/>
          <w:sz w:val="24"/>
          <w:szCs w:val="24"/>
        </w:rPr>
        <w:t xml:space="preserve">a elementem zasadniczym wpływającym na objęcie uzyskanej przez podatnika dotacji definicją podstawy opodatkowania jest </w:t>
      </w:r>
      <w:r>
        <w:rPr>
          <w:b/>
          <w:bCs/>
          <w:color w:val="000000"/>
          <w:sz w:val="24"/>
          <w:szCs w:val="24"/>
        </w:rPr>
        <w:t>stwierdzenie, czy dotacja udzielana jest w celu sfinansowania, czy też dofinansowania dostawy konkretnych towarów lub świadczenia konkretnych usług</w:t>
      </w:r>
      <w:r>
        <w:rPr>
          <w:color w:val="000000"/>
          <w:sz w:val="24"/>
          <w:szCs w:val="24"/>
        </w:rPr>
        <w:t xml:space="preserve"> (por. m.in. wyrok WSA w Łodzi z 12.03.2020 r., sygn. akt I SA/</w:t>
      </w:r>
      <w:proofErr w:type="spellStart"/>
      <w:r>
        <w:rPr>
          <w:color w:val="000000"/>
          <w:sz w:val="24"/>
          <w:szCs w:val="24"/>
        </w:rPr>
        <w:t>Łd</w:t>
      </w:r>
      <w:proofErr w:type="spellEnd"/>
      <w:r>
        <w:rPr>
          <w:color w:val="000000"/>
          <w:sz w:val="24"/>
          <w:szCs w:val="24"/>
        </w:rPr>
        <w:t xml:space="preserve"> 630/19, </w:t>
      </w:r>
      <w:r>
        <w:rPr>
          <w:i/>
          <w:iCs/>
          <w:color w:val="000000"/>
          <w:sz w:val="24"/>
          <w:szCs w:val="24"/>
        </w:rPr>
        <w:t>orzeczenie nieprawomocne</w:t>
      </w:r>
      <w:r>
        <w:rPr>
          <w:color w:val="000000"/>
          <w:sz w:val="24"/>
          <w:szCs w:val="24"/>
        </w:rPr>
        <w:t>).</w:t>
      </w:r>
    </w:p>
    <w:p w:rsidR="004E59F4" w:rsidRDefault="004E59F4">
      <w:pPr>
        <w:spacing w:line="300" w:lineRule="auto"/>
        <w:jc w:val="both"/>
        <w:rPr>
          <w:rFonts w:ascii="Calibri" w:hAnsi="Calibri"/>
          <w:color w:val="000000"/>
          <w:sz w:val="16"/>
          <w:szCs w:val="16"/>
        </w:rPr>
      </w:pPr>
    </w:p>
    <w:p w:rsidR="004E59F4" w:rsidRDefault="00273D75">
      <w:pPr>
        <w:spacing w:line="300" w:lineRule="auto"/>
        <w:jc w:val="both"/>
      </w:pPr>
      <w:r>
        <w:rPr>
          <w:color w:val="000000"/>
          <w:sz w:val="24"/>
          <w:szCs w:val="24"/>
        </w:rPr>
        <w:t>Należy uznać, że ujęcie subwencji (dotacji) w podstawie opodatkowania VAT stanowi wyjątek od zasad ogólnych wspólnego systemu VAT.</w:t>
      </w:r>
      <w:r>
        <w:rPr>
          <w:b/>
          <w:bCs/>
          <w:color w:val="000000"/>
          <w:sz w:val="24"/>
          <w:szCs w:val="24"/>
        </w:rPr>
        <w:t xml:space="preserve"> Nie wszystkie subwencje (dotacje) stanowią element podstawy opodatkowania VAT, </w:t>
      </w:r>
      <w:r>
        <w:rPr>
          <w:color w:val="000000"/>
          <w:sz w:val="24"/>
          <w:szCs w:val="24"/>
        </w:rPr>
        <w:t xml:space="preserve">a jedynie takie, które są subwencjami (dotacjami) związanymi bezpośrednio z ceną dostawy towarów czy ceną świadczenia usług. </w:t>
      </w:r>
    </w:p>
    <w:p w:rsidR="004E59F4" w:rsidRDefault="00273D75">
      <w:pPr>
        <w:spacing w:line="300" w:lineRule="auto"/>
        <w:jc w:val="both"/>
      </w:pPr>
      <w:r>
        <w:rPr>
          <w:color w:val="000000"/>
          <w:sz w:val="24"/>
          <w:szCs w:val="24"/>
        </w:rPr>
        <w:t xml:space="preserve">Istotne zatem dla wykładni art. 29a ust. 1 ustawy o VAT, jest </w:t>
      </w:r>
      <w:r>
        <w:rPr>
          <w:b/>
          <w:bCs/>
          <w:color w:val="000000"/>
          <w:sz w:val="24"/>
          <w:szCs w:val="24"/>
        </w:rPr>
        <w:t>wyjaśnienie pojęcia "dotacja bezpośrednio związana z ceną".</w:t>
      </w:r>
      <w:r>
        <w:rPr>
          <w:color w:val="000000"/>
          <w:sz w:val="24"/>
          <w:szCs w:val="24"/>
        </w:rPr>
        <w:t xml:space="preserve"> Na gruncie ww. regulacji </w:t>
      </w:r>
      <w:r>
        <w:rPr>
          <w:b/>
          <w:bCs/>
          <w:color w:val="000000"/>
          <w:sz w:val="24"/>
          <w:szCs w:val="24"/>
        </w:rPr>
        <w:t>w orzecznictwie, doktrynie oraz w interpretacjach podatkowych wskazuje się w szczególności, iż:</w:t>
      </w:r>
    </w:p>
    <w:p w:rsidR="004E59F4" w:rsidRDefault="00273D75">
      <w:pPr>
        <w:spacing w:line="300" w:lineRule="auto"/>
        <w:jc w:val="both"/>
      </w:pPr>
      <w:r>
        <w:rPr>
          <w:color w:val="000000"/>
          <w:sz w:val="24"/>
          <w:szCs w:val="24"/>
        </w:rPr>
        <w:t xml:space="preserve">- taka sytuacja zachodzi, jeżeli otrzymywana dotacja jest w sposób zindywidualizowany i policzalny związana z ceną danego świadczenia, tj. świadczenie dzięki dotacji ma cenę niższą o konkretną kwotę (W. </w:t>
      </w:r>
      <w:proofErr w:type="spellStart"/>
      <w:r>
        <w:rPr>
          <w:color w:val="000000"/>
          <w:sz w:val="24"/>
          <w:szCs w:val="24"/>
        </w:rPr>
        <w:t>Varga</w:t>
      </w:r>
      <w:proofErr w:type="spellEnd"/>
      <w:r>
        <w:rPr>
          <w:color w:val="000000"/>
          <w:sz w:val="24"/>
          <w:szCs w:val="24"/>
        </w:rPr>
        <w:t>, Glosa do wyroku TSUE z 13 czerwca 2002r. w sprawie C-353/00, System Informacji Prawnej LEX, 2012);</w:t>
      </w:r>
    </w:p>
    <w:p w:rsidR="004E59F4" w:rsidRDefault="00273D75">
      <w:pPr>
        <w:spacing w:line="300" w:lineRule="auto"/>
        <w:jc w:val="both"/>
      </w:pPr>
      <w:r>
        <w:rPr>
          <w:color w:val="000000"/>
          <w:sz w:val="24"/>
          <w:szCs w:val="24"/>
        </w:rPr>
        <w:t>- powyższego warunki nie spełniają dotacje mające na celu dofinansowanie ogólnych kosztów działalności, nieuzależnione od ilości i wartości dostarczanych towarów lub świadczonych usług (por. interpretacja DIS w Bydgoszczy z 01.03.2016 r., sygn. ILPP5/4512-1-304/15-4/PG);</w:t>
      </w:r>
    </w:p>
    <w:p w:rsidR="004E59F4" w:rsidRDefault="00273D75">
      <w:pPr>
        <w:spacing w:line="300" w:lineRule="auto"/>
        <w:jc w:val="both"/>
      </w:pPr>
      <w:r>
        <w:rPr>
          <w:color w:val="000000"/>
          <w:sz w:val="24"/>
          <w:szCs w:val="24"/>
        </w:rPr>
        <w:t>- chodzi tu o taki wpływ na cenę, który będzie można precyzyjnie określić, a ten wpływ powinien wynikać z charakteru dotacji, subwencji lub dopłaty (wyrok WSA w Łodzi z 29.04.2008r., sygn. akt I SA/</w:t>
      </w:r>
      <w:proofErr w:type="spellStart"/>
      <w:r>
        <w:rPr>
          <w:color w:val="000000"/>
          <w:sz w:val="24"/>
          <w:szCs w:val="24"/>
        </w:rPr>
        <w:t>Łd</w:t>
      </w:r>
      <w:proofErr w:type="spellEnd"/>
      <w:r>
        <w:rPr>
          <w:color w:val="000000"/>
          <w:sz w:val="24"/>
          <w:szCs w:val="24"/>
        </w:rPr>
        <w:t xml:space="preserve"> 225/08, </w:t>
      </w:r>
      <w:r>
        <w:rPr>
          <w:i/>
          <w:iCs/>
          <w:color w:val="000000"/>
          <w:sz w:val="24"/>
          <w:szCs w:val="24"/>
        </w:rPr>
        <w:t>orzeczenie prawomocne</w:t>
      </w:r>
      <w:r>
        <w:rPr>
          <w:color w:val="000000"/>
          <w:sz w:val="24"/>
          <w:szCs w:val="24"/>
        </w:rPr>
        <w:t>);</w:t>
      </w:r>
    </w:p>
    <w:p w:rsidR="004E59F4" w:rsidRDefault="00273D75">
      <w:pPr>
        <w:spacing w:line="300" w:lineRule="auto"/>
        <w:jc w:val="both"/>
      </w:pPr>
      <w:r>
        <w:rPr>
          <w:color w:val="000000"/>
          <w:sz w:val="24"/>
          <w:szCs w:val="24"/>
        </w:rPr>
        <w:t>- sam tylko fakt, że dotacja wpływa na ostateczną cenę świadczenia (co niemal zawsze ma miejsce), nie może być decydujący dla uznania, że dotacja ta powinna zwiększać podstawę opodatkowania (wyrok TSUE z 22.11.2001 r. w sprawie C-184/00).</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pPr>
      <w:r>
        <w:rPr>
          <w:color w:val="000000"/>
          <w:sz w:val="24"/>
          <w:szCs w:val="24"/>
        </w:rPr>
        <w:t>W przywołanym wyżej orzeczeniu w sprawie C-184/00, Trybunał argumentował, że:</w:t>
      </w:r>
    </w:p>
    <w:p w:rsidR="004E59F4" w:rsidRDefault="00273D75">
      <w:pPr>
        <w:spacing w:line="300" w:lineRule="auto"/>
        <w:jc w:val="both"/>
      </w:pPr>
      <w:r>
        <w:rPr>
          <w:color w:val="000000"/>
          <w:sz w:val="24"/>
          <w:szCs w:val="24"/>
        </w:rPr>
        <w:lastRenderedPageBreak/>
        <w:t>-  w celu ustalenia, czy dotacja stanowi wynagrodzenie, cena towarów i usług musi, co do zasady, być ustalana nie później, niż w momencie zdarzenia podlegającego opodatkowaniu,</w:t>
      </w:r>
    </w:p>
    <w:p w:rsidR="004E59F4" w:rsidRDefault="00273D75">
      <w:pPr>
        <w:spacing w:line="300" w:lineRule="auto"/>
        <w:jc w:val="both"/>
      </w:pPr>
      <w:r>
        <w:rPr>
          <w:color w:val="000000"/>
          <w:sz w:val="24"/>
          <w:szCs w:val="24"/>
        </w:rPr>
        <w:t>- związek pomiędzy dotacją a ceną musi być jednoznacznie widoczny na podstawie indywidualnej analizy okoliczności stanowiących podstawę wypłaty tego wynagrodzenia,</w:t>
      </w:r>
    </w:p>
    <w:p w:rsidR="004E59F4" w:rsidRDefault="00273D75">
      <w:pPr>
        <w:spacing w:line="300" w:lineRule="auto"/>
        <w:jc w:val="both"/>
      </w:pPr>
      <w:r>
        <w:rPr>
          <w:color w:val="000000"/>
          <w:sz w:val="24"/>
          <w:szCs w:val="24"/>
        </w:rPr>
        <w:t>- cena jaką płaci nabywca musi być ustalana w taki sposób, że zmniejsza się ona w proporcji do dotacji przyznanej sprzedawcy towarów lub świadczącemu usługi.</w:t>
      </w:r>
    </w:p>
    <w:p w:rsidR="004E59F4" w:rsidRDefault="004E59F4">
      <w:pPr>
        <w:spacing w:line="300" w:lineRule="auto"/>
        <w:jc w:val="both"/>
        <w:rPr>
          <w:color w:val="000000"/>
          <w:sz w:val="8"/>
          <w:szCs w:val="8"/>
        </w:rPr>
      </w:pPr>
    </w:p>
    <w:p w:rsidR="004E59F4" w:rsidRDefault="00273D75">
      <w:pPr>
        <w:spacing w:line="300" w:lineRule="auto"/>
        <w:jc w:val="both"/>
      </w:pPr>
      <w:r>
        <w:rPr>
          <w:color w:val="000000"/>
          <w:sz w:val="24"/>
          <w:szCs w:val="24"/>
        </w:rPr>
        <w:t xml:space="preserve">Ponadto, Trybunał wskazał sądowi odsyłającemu szereg wskazówek, stwierdzając, że sąd krajowy </w:t>
      </w:r>
      <w:r>
        <w:rPr>
          <w:b/>
          <w:bCs/>
          <w:color w:val="000000"/>
          <w:sz w:val="24"/>
          <w:szCs w:val="24"/>
        </w:rPr>
        <w:t>musi zbadać obiektywnie, czy fakt, iż dotacja jest wypłacana sprzedawcy lub świadczącemu pozwala mu sprzedawać towary lub świadczyć usługi po cenie niższej, niż musiałby on żądać w braku takiej dotacji</w:t>
      </w:r>
      <w:r>
        <w:rPr>
          <w:color w:val="000000"/>
          <w:sz w:val="24"/>
          <w:szCs w:val="24"/>
        </w:rPr>
        <w:t>. Przy czym, według TSUE, nie jest konieczne, by dotacja odpowiadała bezpośrednio zmniejszeniu ceny dostarczanych towarów, wystarczy by relacja pomiędzy zmniejszeniem ceny a dotacją, która może być wyrażona ryczałtowo, była istotna.</w:t>
      </w:r>
    </w:p>
    <w:p w:rsidR="004E59F4" w:rsidRDefault="00273D75">
      <w:pPr>
        <w:spacing w:line="300" w:lineRule="auto"/>
        <w:jc w:val="both"/>
      </w:pPr>
      <w:r>
        <w:rPr>
          <w:color w:val="000000"/>
          <w:sz w:val="24"/>
          <w:szCs w:val="24"/>
        </w:rPr>
        <w:t xml:space="preserve">Z kolei, w wyroku w sprawie C-353/00 Trybunał wyraził pogląd, że niezależnie od tego, czy dofinansowanie spełnia warunek bezpośredniego związku z ceną, czy też nie spełnia takiego warunku, zwiększać będzie podstawę opodatkowania, jeśli osoba trzecia (także organ władzy publicznej) wpłaca pewną kwotę pieniędzy na poczet usług świadczonych na rzecz osoby fizycznej. Szersze uwagi na ten temat znalazły się m.in. w opinii rzecznika generalnego, który zaaprobował TSUE w ww. orzeczeniu. Jak wskazał rzecznik, dotacje mogą mieć różną formę i charakter. Zwykle przez dotacje (subwencje) rozumie się sumy wypłacane danemu podmiotowi z funduszy publicznych w interesie ogólnym. W praktyce dotacje mogą mieć postać dopłat ogólnych do działalności przedsiębiorstwa (i wówczas nie podlegają opodatkowaniu) albo też stanowić subsydia do konkretnych dostaw lub usług, umożliwiając nabycie ich ostatecznemu odbiorcy po niższej cenie (lub w ogóle bez odpłatności z jego strony). W tym ostatnim przypadku podlegają podatkowi VAT (za: wyrok WSA w Białymstoku z 20.11.2019 r., sygn. akt I SA/Bk 469/19, </w:t>
      </w:r>
      <w:r>
        <w:rPr>
          <w:i/>
          <w:iCs/>
          <w:color w:val="000000"/>
          <w:sz w:val="24"/>
          <w:szCs w:val="24"/>
        </w:rPr>
        <w:t>orzeczenie prawomocne</w:t>
      </w:r>
      <w:r>
        <w:rPr>
          <w:color w:val="000000"/>
          <w:sz w:val="24"/>
          <w:szCs w:val="24"/>
        </w:rPr>
        <w:t>). Podobne tezy wynikają także m.in. z wyroków TSUE z 15.07.2004 r. (C-144-02) oraz z 09.10.2019 r. (C-573/18).</w:t>
      </w:r>
    </w:p>
    <w:p w:rsidR="004E59F4" w:rsidRDefault="004E59F4">
      <w:pPr>
        <w:spacing w:line="300" w:lineRule="auto"/>
        <w:jc w:val="both"/>
        <w:rPr>
          <w:color w:val="000000"/>
          <w:sz w:val="24"/>
          <w:szCs w:val="24"/>
        </w:rPr>
      </w:pPr>
    </w:p>
    <w:p w:rsidR="004E59F4" w:rsidRDefault="00273D75">
      <w:pPr>
        <w:spacing w:line="300" w:lineRule="auto"/>
        <w:jc w:val="both"/>
      </w:pPr>
      <w:r>
        <w:rPr>
          <w:color w:val="000000"/>
          <w:sz w:val="24"/>
          <w:szCs w:val="24"/>
        </w:rPr>
        <w:t>W sytuacji zatem,</w:t>
      </w:r>
      <w:r>
        <w:rPr>
          <w:b/>
          <w:bCs/>
          <w:color w:val="000000"/>
          <w:sz w:val="24"/>
          <w:szCs w:val="24"/>
        </w:rPr>
        <w:t xml:space="preserve"> gdy podatnik dla konkretnej dostawy towarów lub konkretnego świadczenia usług otrzymuje od innego podmiotu dofinansowanie, np. w postaci dotacji stanowiącej dopłatę do ceny towaru lub usługi - tego rodzaju dofinansowanie stanowi, obok ceny, uzupełniający ją element podstawowy opodatkowania z tytułu tej dostawy lub świadczenia. </w:t>
      </w:r>
      <w:r>
        <w:rPr>
          <w:color w:val="000000"/>
          <w:sz w:val="24"/>
          <w:szCs w:val="24"/>
        </w:rPr>
        <w:t xml:space="preserve">Nie ma przy tym znaczenia to, od kogo dostawca towaru lub świadczący usługę </w:t>
      </w:r>
      <w:r>
        <w:rPr>
          <w:color w:val="000000"/>
          <w:sz w:val="24"/>
          <w:szCs w:val="24"/>
        </w:rPr>
        <w:lastRenderedPageBreak/>
        <w:t>otrzymuje zapłatę - czy od nabywcy czy od osoby trzeciej, ważne jest aby było to wynagrodzenie za dane konkretne świadczenie lub za daną konkretną dostawę.</w:t>
      </w:r>
    </w:p>
    <w:p w:rsidR="004E59F4" w:rsidRDefault="00273D75">
      <w:pPr>
        <w:spacing w:line="300" w:lineRule="auto"/>
        <w:jc w:val="both"/>
      </w:pPr>
      <w:r>
        <w:rPr>
          <w:color w:val="000000"/>
          <w:sz w:val="24"/>
          <w:szCs w:val="24"/>
        </w:rPr>
        <w:t>Natomiast</w:t>
      </w:r>
      <w:r>
        <w:rPr>
          <w:b/>
          <w:bCs/>
          <w:color w:val="000000"/>
          <w:sz w:val="24"/>
          <w:szCs w:val="24"/>
        </w:rPr>
        <w:t xml:space="preserve"> dotacje mające na celu dofinansowanie ogólnych kosztów działalności, niedające się powiązać z konkretnymi czynnościami podlegającymi opodatkowaniu podatkiem VAT, a więc nieuzależnione od ilości i wartości </w:t>
      </w:r>
      <w:r>
        <w:rPr>
          <w:color w:val="000000"/>
          <w:sz w:val="24"/>
          <w:szCs w:val="24"/>
        </w:rPr>
        <w:t>dostarczanych towarów lub</w:t>
      </w:r>
      <w:r>
        <w:rPr>
          <w:b/>
          <w:bCs/>
          <w:color w:val="000000"/>
          <w:sz w:val="24"/>
          <w:szCs w:val="24"/>
        </w:rPr>
        <w:t xml:space="preserve"> świadczonych usług, nie stanowią podstawy opodatkowania </w:t>
      </w:r>
      <w:r>
        <w:rPr>
          <w:color w:val="000000"/>
          <w:sz w:val="24"/>
          <w:szCs w:val="24"/>
        </w:rPr>
        <w:t>w rozumieniu art. 29a ust. 1 ustawy o</w:t>
      </w:r>
      <w:r>
        <w:rPr>
          <w:b/>
          <w:bCs/>
          <w:color w:val="000000"/>
          <w:sz w:val="24"/>
          <w:szCs w:val="24"/>
        </w:rPr>
        <w:t xml:space="preserve"> VAT.</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pPr>
      <w:r>
        <w:rPr>
          <w:b/>
          <w:bCs/>
          <w:color w:val="000000"/>
          <w:sz w:val="24"/>
          <w:szCs w:val="24"/>
        </w:rPr>
        <w:t>Mając na uwadze powyższe regulacje i spostrzeżenia, poniżej poddano dalszej analizie kwestię ujęcia dla celów VAT dotacji, w zależności od modelu realizacji usługi transportowej.</w:t>
      </w:r>
    </w:p>
    <w:p w:rsidR="004E59F4" w:rsidRDefault="004E59F4">
      <w:pPr>
        <w:spacing w:line="300" w:lineRule="auto"/>
        <w:jc w:val="both"/>
        <w:rPr>
          <w:rFonts w:ascii="Calibri" w:hAnsi="Calibri"/>
          <w:b/>
          <w:bCs/>
          <w:color w:val="000000"/>
          <w:sz w:val="24"/>
          <w:szCs w:val="24"/>
        </w:rPr>
      </w:pPr>
    </w:p>
    <w:p w:rsidR="004E59F4" w:rsidRDefault="00273D75">
      <w:pPr>
        <w:spacing w:line="300" w:lineRule="auto"/>
        <w:jc w:val="both"/>
        <w:rPr>
          <w:color w:val="000000"/>
        </w:rPr>
      </w:pPr>
      <w:r>
        <w:rPr>
          <w:b/>
          <w:bCs/>
          <w:color w:val="000000"/>
          <w:sz w:val="24"/>
          <w:szCs w:val="24"/>
        </w:rPr>
        <w:t>Model nr 1 - JST samodzielnie świadczy usługi lub usługi świadczy spółka komunalna</w:t>
      </w:r>
    </w:p>
    <w:p w:rsidR="004E59F4" w:rsidRDefault="00273D75">
      <w:pPr>
        <w:spacing w:line="300" w:lineRule="auto"/>
        <w:jc w:val="both"/>
        <w:rPr>
          <w:rFonts w:ascii="Calibri" w:hAnsi="Calibri"/>
          <w:color w:val="000000"/>
          <w:sz w:val="24"/>
          <w:szCs w:val="24"/>
        </w:rPr>
      </w:pPr>
      <w:r>
        <w:rPr>
          <w:color w:val="000000"/>
          <w:sz w:val="24"/>
          <w:szCs w:val="24"/>
        </w:rPr>
        <w:t>Na wstępie wskazać należy, iż zgodnie ze Szczegółowym Opisem Osi Priorytetowych Programu Operacyjnego Wiedza Edukacja Rozwój 2014-2020 (Warszawa, 25 marca 2020 r.), wśród celów szczegółowych Działania 2.8., wymieniono zmniejszenie wykluczenia społecznego osób o ograniczonej mobilności, w tym osób z niepełnosprawnościami, które mają trudności w przemieszczaniu się, a wśród typów projektów - zwiększenie możliwości przemieszczania się osób o ograniczonej mobilności poprzez zapewnienie usług indywidualnego transportu door-to-door oraz poprawę dostępności budynków wielorodzinnych i użyteczności publicznej, w celu ułatwienia integracji społeczno-zawodowej oraz ocena efektywności wdrażanego systemu.</w:t>
      </w:r>
    </w:p>
    <w:p w:rsidR="004E59F4" w:rsidRDefault="00273D75">
      <w:pPr>
        <w:spacing w:line="300" w:lineRule="auto"/>
        <w:jc w:val="both"/>
        <w:rPr>
          <w:rFonts w:ascii="Calibri" w:hAnsi="Calibri"/>
          <w:color w:val="000000"/>
          <w:sz w:val="24"/>
          <w:szCs w:val="24"/>
        </w:rPr>
      </w:pPr>
      <w:r>
        <w:rPr>
          <w:color w:val="000000"/>
          <w:sz w:val="24"/>
          <w:szCs w:val="24"/>
        </w:rPr>
        <w:t xml:space="preserve">Powyższe zdaje się zatem korespondować z zadaniami własnymi gminy oraz powiatu. </w:t>
      </w:r>
    </w:p>
    <w:p w:rsidR="004E59F4" w:rsidRDefault="00273D75">
      <w:pPr>
        <w:spacing w:line="300" w:lineRule="auto"/>
        <w:jc w:val="both"/>
      </w:pPr>
      <w:r>
        <w:rPr>
          <w:color w:val="000000"/>
          <w:sz w:val="24"/>
          <w:szCs w:val="24"/>
        </w:rPr>
        <w:t>Zgodnie bowiem z art. 7 ust. 1 USG, „zaspokajanie zbiorowych potrzeb wspólnoty należy do zadań własnych gminy. W szczególności zadania własne obejmują sprawy: (…) 6) pomocy społecznej, w tym ośrodków i zakładów opiekuńczych ...”.</w:t>
      </w:r>
    </w:p>
    <w:p w:rsidR="004E59F4" w:rsidRDefault="00273D75">
      <w:pPr>
        <w:spacing w:line="300" w:lineRule="auto"/>
        <w:jc w:val="both"/>
      </w:pPr>
      <w:r>
        <w:rPr>
          <w:color w:val="000000"/>
          <w:sz w:val="24"/>
          <w:szCs w:val="24"/>
        </w:rPr>
        <w:t xml:space="preserve">Doprecyzowanie powyższego jest m.in. ustawa z dnia 12 marca 2004 r. o pomocy społecznej </w:t>
      </w:r>
      <w:r>
        <w:rPr>
          <w:i/>
          <w:iCs/>
          <w:color w:val="000000"/>
          <w:sz w:val="24"/>
          <w:szCs w:val="24"/>
        </w:rPr>
        <w:t>(</w:t>
      </w:r>
      <w:proofErr w:type="spellStart"/>
      <w:r>
        <w:rPr>
          <w:i/>
          <w:iCs/>
          <w:color w:val="000000"/>
          <w:sz w:val="24"/>
          <w:szCs w:val="24"/>
        </w:rPr>
        <w:t>t.j</w:t>
      </w:r>
      <w:proofErr w:type="spellEnd"/>
      <w:r>
        <w:rPr>
          <w:i/>
          <w:iCs/>
          <w:color w:val="000000"/>
          <w:sz w:val="24"/>
          <w:szCs w:val="24"/>
        </w:rPr>
        <w:t xml:space="preserve">. Dz.U z 2019 r. poz. 1507 z </w:t>
      </w:r>
      <w:proofErr w:type="spellStart"/>
      <w:r>
        <w:rPr>
          <w:i/>
          <w:iCs/>
          <w:color w:val="000000"/>
          <w:sz w:val="24"/>
          <w:szCs w:val="24"/>
        </w:rPr>
        <w:t>późn</w:t>
      </w:r>
      <w:proofErr w:type="spellEnd"/>
      <w:r>
        <w:rPr>
          <w:i/>
          <w:iCs/>
          <w:color w:val="000000"/>
          <w:sz w:val="24"/>
          <w:szCs w:val="24"/>
        </w:rPr>
        <w:t xml:space="preserve">. zm.). </w:t>
      </w:r>
      <w:r>
        <w:rPr>
          <w:color w:val="000000"/>
          <w:sz w:val="24"/>
          <w:szCs w:val="24"/>
        </w:rPr>
        <w:t>W art. 7 pkt 5 tej ustawy wskazano, iż pomocy społecznej udziela się osobom i rodzinom w szczególności z powodu niepełnosprawności.</w:t>
      </w:r>
    </w:p>
    <w:p w:rsidR="004E59F4" w:rsidRDefault="00273D75">
      <w:pPr>
        <w:spacing w:line="300" w:lineRule="auto"/>
        <w:jc w:val="both"/>
      </w:pPr>
      <w:r>
        <w:rPr>
          <w:color w:val="000000"/>
          <w:sz w:val="24"/>
          <w:szCs w:val="24"/>
        </w:rPr>
        <w:t xml:space="preserve">Na ww. przepis USG powołał się m.in. DIS w Warszawie w interpretacji z 12.03.2009r. (IPPP1-443-2202/08-3/IZ) dotyczącej gminy, która nabyła, w ramach dofinansowania z PFRON, samochód osobowy dla przewozu osób niepełnosprawnych. </w:t>
      </w:r>
    </w:p>
    <w:p w:rsidR="004E59F4" w:rsidRDefault="00273D75">
      <w:pPr>
        <w:spacing w:line="300" w:lineRule="auto"/>
        <w:jc w:val="both"/>
      </w:pPr>
      <w:r>
        <w:rPr>
          <w:color w:val="000000"/>
          <w:sz w:val="24"/>
          <w:szCs w:val="24"/>
        </w:rPr>
        <w:t>Podobnie jest w przypadku powiatów, jako że zgodnie z art. 4 ust. 1 pkt 3 USP, powiat wykonuje określone ustawami zadania publiczne o charakterze ponadgminnym w zakresie pomocy społecznej. Wśród zadań publicznych powiatu wymieniono także wprost zadania publiczne o charakterze ponadgminnym w zakresie wspierania osób niepełnosprawnych (art. 4 ust. 1 pkt 5 USP).</w:t>
      </w:r>
    </w:p>
    <w:p w:rsidR="004E59F4" w:rsidRDefault="004E59F4">
      <w:pPr>
        <w:spacing w:line="300" w:lineRule="auto"/>
        <w:jc w:val="both"/>
        <w:rPr>
          <w:rFonts w:ascii="Calibri" w:hAnsi="Calibri"/>
          <w:color w:val="000000"/>
          <w:sz w:val="16"/>
          <w:szCs w:val="16"/>
        </w:rPr>
      </w:pPr>
    </w:p>
    <w:p w:rsidR="004E59F4" w:rsidRDefault="00273D75">
      <w:pPr>
        <w:spacing w:line="300" w:lineRule="auto"/>
        <w:jc w:val="both"/>
      </w:pPr>
      <w:r>
        <w:rPr>
          <w:color w:val="000000"/>
          <w:sz w:val="24"/>
          <w:szCs w:val="24"/>
        </w:rPr>
        <w:t>Ponadto, ze stanu faktycznego wynika, iż w funkcjonujących obecnie modelach świadczenia tego typu usług stosowane jest m.in. powierzanie przez JST świadczenia usług publicznych (tj. realizacji zadania własnego z zakresu lokalnego transportu zbiorowego) własnej spółce komunalnej. Świadczy to zatem o tym, iż w JST kwalifikują tego typu zadania właśnie do zadań własnych w zakresie lokalnego transportu zbiorowego (o których mowa w art. 7 ust. 1 pkt 4 USG). Przykładem może być tu m.in. Miasto Łódź.</w:t>
      </w:r>
    </w:p>
    <w:p w:rsidR="004E59F4" w:rsidRDefault="004E59F4">
      <w:pPr>
        <w:spacing w:line="300" w:lineRule="auto"/>
        <w:jc w:val="both"/>
        <w:rPr>
          <w:color w:val="000000"/>
          <w:sz w:val="12"/>
          <w:szCs w:val="12"/>
        </w:rPr>
      </w:pPr>
    </w:p>
    <w:p w:rsidR="004E59F4" w:rsidRDefault="00273D75">
      <w:pPr>
        <w:spacing w:line="300" w:lineRule="auto"/>
        <w:jc w:val="both"/>
      </w:pPr>
      <w:r>
        <w:rPr>
          <w:color w:val="000000"/>
          <w:sz w:val="24"/>
          <w:szCs w:val="24"/>
        </w:rPr>
        <w:t xml:space="preserve">Jakkolwiek mogłoby się wydawać, iż usługa „indywidualnego” transportu stoi niejako w opozycji do „transportu zbiorowego” (lokalny transport zbiorowy to zadanie własne gminy), to jednak ze stanu faktycznego wynika, że JST organizując tego typu usługi wprost wskazują na zadanie własne w zakresie transportu zbiorowego. Podobnie jest m.in. w Szczecinie. W uzasadnieniu do uchwały Rada Miasta Szczecin w sprawie zasad świadczenia usług przewozowych dla osób niepełnosprawnych oraz pobierania opłat za te usługi wskazano bowiem m.in., </w:t>
      </w:r>
      <w:r w:rsidRPr="0035535A">
        <w:rPr>
          <w:color w:val="000000"/>
          <w:sz w:val="24"/>
          <w:szCs w:val="24"/>
        </w:rPr>
        <w:t xml:space="preserve">usługi przewozowe dla osób niepełnosprawnych </w:t>
      </w:r>
      <w:r>
        <w:rPr>
          <w:color w:val="000000"/>
          <w:sz w:val="24"/>
          <w:szCs w:val="24"/>
        </w:rPr>
        <w:t xml:space="preserve">świadczone są </w:t>
      </w:r>
      <w:r w:rsidRPr="0035535A">
        <w:rPr>
          <w:color w:val="000000"/>
          <w:sz w:val="24"/>
          <w:szCs w:val="24"/>
        </w:rPr>
        <w:t>w</w:t>
      </w:r>
      <w:r>
        <w:rPr>
          <w:color w:val="000000"/>
          <w:sz w:val="24"/>
          <w:szCs w:val="24"/>
        </w:rPr>
        <w:t> </w:t>
      </w:r>
      <w:r w:rsidRPr="0035535A">
        <w:rPr>
          <w:color w:val="000000"/>
          <w:sz w:val="24"/>
          <w:szCs w:val="24"/>
        </w:rPr>
        <w:t>ramach szeroko pojętego transportu zbiorowego w celu dowiezienia osób niepełnosprawnych do szkół – poza obowiązkiem szkolnym, do ośrodków rehabilitacyjnych, zakładów pracy bądź innych miejsc zgodnie z indywidualnymi potrzebami osoby niepełnosprawnej</w:t>
      </w:r>
      <w:r>
        <w:rPr>
          <w:color w:val="000000"/>
          <w:sz w:val="24"/>
          <w:szCs w:val="24"/>
        </w:rPr>
        <w:t>. Na ile zatem rozumiemy podejście Miasta Szczecin, świadczone przez to Miasto usługi wpisują się także w cele, takie jak integracja społeczno-zawodowa, a czynione jest to niejako w ramach realizacji „szeroko pojętego” zadania własnego w zakresie transportu zbiorowego.</w:t>
      </w:r>
    </w:p>
    <w:p w:rsidR="004E59F4" w:rsidRDefault="004E59F4">
      <w:pPr>
        <w:spacing w:line="300" w:lineRule="auto"/>
        <w:jc w:val="both"/>
        <w:rPr>
          <w:color w:val="000000"/>
          <w:sz w:val="24"/>
          <w:szCs w:val="24"/>
        </w:rPr>
      </w:pPr>
    </w:p>
    <w:p w:rsidR="004E59F4" w:rsidRDefault="00273D75">
      <w:pPr>
        <w:spacing w:line="300" w:lineRule="auto"/>
        <w:jc w:val="both"/>
      </w:pPr>
      <w:r>
        <w:rPr>
          <w:color w:val="000000"/>
          <w:sz w:val="24"/>
          <w:szCs w:val="24"/>
        </w:rPr>
        <w:t xml:space="preserve">Z kolei, inne powiaty powołują się m.in. na art. 4 ust. 1 pkt 5 USP, a zatem na zadania publiczne o charakterze ponadgminnym w zakresie wspierania osób niepełnosprawnych (por. powołana w stanie faktycznym uchwała Rady Powiatu w Ostrołęce). </w:t>
      </w:r>
    </w:p>
    <w:p w:rsidR="004E59F4" w:rsidRDefault="00273D75">
      <w:pPr>
        <w:spacing w:line="300" w:lineRule="auto"/>
        <w:jc w:val="both"/>
      </w:pPr>
      <w:r>
        <w:rPr>
          <w:color w:val="000000"/>
          <w:sz w:val="24"/>
          <w:szCs w:val="24"/>
        </w:rPr>
        <w:t xml:space="preserve">Poza tym, jeśli w ramach projektu dopuszczalne jest także powierzenie zadania OPP, to de facto jest to równoznaczne z uznaniem, iż powierzane zadanie stanowi zadanie publiczne JST (por. także pkt. 5 ekspertyzy). </w:t>
      </w:r>
    </w:p>
    <w:p w:rsidR="004E59F4" w:rsidRDefault="004E59F4">
      <w:pPr>
        <w:spacing w:line="300" w:lineRule="auto"/>
        <w:jc w:val="both"/>
        <w:rPr>
          <w:color w:val="000000"/>
          <w:sz w:val="24"/>
          <w:szCs w:val="24"/>
        </w:rPr>
      </w:pPr>
    </w:p>
    <w:p w:rsidR="004E59F4" w:rsidRDefault="00273D75">
      <w:pPr>
        <w:spacing w:line="300" w:lineRule="auto"/>
        <w:jc w:val="both"/>
      </w:pPr>
      <w:proofErr w:type="spellStart"/>
      <w:r>
        <w:rPr>
          <w:b/>
          <w:bCs/>
          <w:color w:val="000000"/>
          <w:sz w:val="24"/>
          <w:szCs w:val="24"/>
        </w:rPr>
        <w:t>Możnaby</w:t>
      </w:r>
      <w:proofErr w:type="spellEnd"/>
      <w:r>
        <w:rPr>
          <w:b/>
          <w:bCs/>
          <w:color w:val="000000"/>
          <w:sz w:val="24"/>
          <w:szCs w:val="24"/>
        </w:rPr>
        <w:t xml:space="preserve"> zatem argumentować, iż w przypadku samodzielnego wykonywania transportu door-to-door, JST nie działa w tym zakresie w charakterze podatnika VAT i w konsekwencji czynność ta jest poza zakresem VAT,</w:t>
      </w:r>
      <w:r>
        <w:rPr>
          <w:color w:val="000000"/>
          <w:sz w:val="24"/>
          <w:szCs w:val="24"/>
        </w:rPr>
        <w:t xml:space="preserve"> zwłaszcza gdy nie pobierano by odpłatności, ale także w przypadku, gdyby odpłatność była ustalona w sposób nie odzwierciadlający rzeczywistej wartości świadczenia (z uwzględnieniem zysku). Powołać można by się zatem na art. 15 ust. 6 ustawy o VAT, argumentując, iż w tym przypadku czynności wykonywane są przez JST jako organ władzy publicznej w ramach realizacji zadań (własnych, publicznych) nałożonych </w:t>
      </w:r>
      <w:r>
        <w:rPr>
          <w:color w:val="000000"/>
          <w:sz w:val="24"/>
          <w:szCs w:val="24"/>
        </w:rPr>
        <w:lastRenderedPageBreak/>
        <w:t>przepisami prawa. Samo uznanie, iż usługa ta może być traktowana jako zadanie własne JST nie oznacza jednak automatycznie, że jest wyłączona z VAT. Wątpliwe może być już jednak przyjęcie, iż czynności te podejmowane są przez JST w celu sprawowania władzy publicznej (w ramach reżimu publicznoprawnego).</w:t>
      </w:r>
    </w:p>
    <w:p w:rsidR="004E59F4" w:rsidRDefault="004E59F4">
      <w:pPr>
        <w:spacing w:line="300" w:lineRule="auto"/>
        <w:jc w:val="both"/>
        <w:rPr>
          <w:color w:val="000000"/>
          <w:sz w:val="16"/>
          <w:szCs w:val="16"/>
        </w:rPr>
      </w:pPr>
    </w:p>
    <w:p w:rsidR="004E59F4" w:rsidRDefault="00273D75">
      <w:pPr>
        <w:spacing w:line="300" w:lineRule="auto"/>
        <w:jc w:val="both"/>
      </w:pPr>
      <w:r>
        <w:rPr>
          <w:color w:val="000000"/>
          <w:sz w:val="24"/>
          <w:szCs w:val="24"/>
        </w:rPr>
        <w:t>Niezależnie od powyższego, można by też jednak argumentować, iż w przypadku braku  odpłatności ze strony pasażera lub ustalenia odpłatności w sposób nie odzwierciadlający rzeczywistej wartości świadczenia (z uwzględnieniem zysku), JST nie działo jako podatnik VAT w rozumieniu art. 15 ust. 1 ustawy o VAT, wykonujący działalność gospodarczą, o której mowa w art. 15 ust. 2 tej ustawy. Twierdzić można by bowiem, że działania JST nie będą nastawione na zysk, co jest charakterystyczne dla działalności gospodarczej.</w:t>
      </w:r>
    </w:p>
    <w:p w:rsidR="004E59F4" w:rsidRDefault="004E59F4">
      <w:pPr>
        <w:spacing w:line="300" w:lineRule="auto"/>
        <w:jc w:val="both"/>
        <w:rPr>
          <w:color w:val="000000"/>
          <w:sz w:val="12"/>
          <w:szCs w:val="12"/>
        </w:rPr>
      </w:pPr>
    </w:p>
    <w:p w:rsidR="004E59F4" w:rsidRDefault="00273D75">
      <w:pPr>
        <w:spacing w:line="300" w:lineRule="auto"/>
        <w:jc w:val="both"/>
      </w:pPr>
      <w:r>
        <w:rPr>
          <w:color w:val="000000"/>
          <w:sz w:val="24"/>
          <w:szCs w:val="24"/>
        </w:rPr>
        <w:t>W tym kontekście powołać należy m.in. wyrok WSA w Szczecinie z 07.08.2019 r. (sygn. akt I SA/</w:t>
      </w:r>
      <w:proofErr w:type="spellStart"/>
      <w:r>
        <w:rPr>
          <w:color w:val="000000"/>
          <w:sz w:val="24"/>
          <w:szCs w:val="24"/>
        </w:rPr>
        <w:t>Sz</w:t>
      </w:r>
      <w:proofErr w:type="spellEnd"/>
      <w:r>
        <w:rPr>
          <w:color w:val="000000"/>
          <w:sz w:val="24"/>
          <w:szCs w:val="24"/>
        </w:rPr>
        <w:t xml:space="preserve"> 244/19, </w:t>
      </w:r>
      <w:r>
        <w:rPr>
          <w:i/>
          <w:iCs/>
          <w:color w:val="000000"/>
          <w:sz w:val="24"/>
          <w:szCs w:val="24"/>
        </w:rPr>
        <w:t>orzeczenie nieprawomocne</w:t>
      </w:r>
      <w:r>
        <w:rPr>
          <w:color w:val="000000"/>
          <w:sz w:val="24"/>
          <w:szCs w:val="24"/>
        </w:rPr>
        <w:t>). W orzeczeniu tym,</w:t>
      </w:r>
      <w:r>
        <w:rPr>
          <w:b/>
          <w:bCs/>
          <w:color w:val="000000"/>
          <w:sz w:val="24"/>
          <w:szCs w:val="24"/>
        </w:rPr>
        <w:t xml:space="preserve"> WSA uznał, iż w rozpatrywanej przez niego sprawie czynności polegające na odpłatnym dowozie osób niepełnosprawnych są czynnościami ze sfery publicznoprawnej, bowiem nie są nastawione na zysk</w:t>
      </w:r>
      <w:r>
        <w:rPr>
          <w:color w:val="000000"/>
          <w:sz w:val="24"/>
          <w:szCs w:val="24"/>
        </w:rPr>
        <w:t xml:space="preserve">, co jest charakterystyczne dla działalności gospodarczej. WSA odwołał się w tym zakresie m.in. do ustawy o pomocy społecznej i uznał, że w sprawie znajduje zastosowanie art. 15 ust 6 ustawy VAT, co oznacza, że skoro gmina przy pomocy </w:t>
      </w:r>
      <w:proofErr w:type="spellStart"/>
      <w:r>
        <w:rPr>
          <w:color w:val="000000"/>
          <w:sz w:val="24"/>
          <w:szCs w:val="24"/>
        </w:rPr>
        <w:t>busa</w:t>
      </w:r>
      <w:proofErr w:type="spellEnd"/>
      <w:r>
        <w:rPr>
          <w:color w:val="000000"/>
          <w:sz w:val="24"/>
          <w:szCs w:val="24"/>
        </w:rPr>
        <w:t xml:space="preserve"> świadczy usługi transportowe osobom niepełnosprawnych na zabiegi lecznicze i rehabilitacyjne, to nie jest podatnikiem podatku od towarów i usług, a tym samym usługi te nie są czynnościami opodatkowanymi VAT.</w:t>
      </w:r>
    </w:p>
    <w:p w:rsidR="004E59F4" w:rsidRDefault="00273D75">
      <w:pPr>
        <w:spacing w:line="300" w:lineRule="auto"/>
        <w:jc w:val="both"/>
      </w:pPr>
      <w:r>
        <w:rPr>
          <w:color w:val="000000"/>
          <w:sz w:val="24"/>
          <w:szCs w:val="24"/>
        </w:rPr>
        <w:t xml:space="preserve">Argumentację tę </w:t>
      </w:r>
      <w:r>
        <w:rPr>
          <w:rFonts w:eastAsia="Calibri"/>
          <w:color w:val="000000"/>
          <w:sz w:val="24"/>
          <w:szCs w:val="24"/>
        </w:rPr>
        <w:t>można by</w:t>
      </w:r>
      <w:r>
        <w:rPr>
          <w:color w:val="000000"/>
          <w:sz w:val="24"/>
          <w:szCs w:val="24"/>
        </w:rPr>
        <w:t xml:space="preserve"> dodatkowo wspomóc orzeczeniem TSUE z 12.05.2016 r.  w sprawie C-520/14, w którym uznano, że jednostka samorządu terytorialnego, która świadczy usługę dowozu uczniów do szkół nie prowadzi działalności gospodarczej, a więc nie działa jako podatnik, w wypadku gdy gmina odzyskuje w drodze składek, które otrzymuje jedynie małą część ponoszonych kosztów. Nie można przecież wykluczać, że któraś z JST, organizując transport door-to-door, zróżnicuje wysokość odpłatności od pasażera w zależności od jego sytuacji materialnej. Taki przypadek przywołano zresztą w, stanowiącym podstawę ustalenia stanu faktycznego, opracowaniu pt. </w:t>
      </w:r>
      <w:r>
        <w:rPr>
          <w:i/>
          <w:iCs/>
          <w:color w:val="000000"/>
          <w:sz w:val="24"/>
          <w:szCs w:val="24"/>
        </w:rPr>
        <w:t>„Zestawienie prezentujące dotychczas stosowane w Polsce modele usługi door-to-door”.</w:t>
      </w:r>
    </w:p>
    <w:p w:rsidR="004E59F4" w:rsidRDefault="004E59F4">
      <w:pPr>
        <w:spacing w:line="300" w:lineRule="auto"/>
        <w:jc w:val="both"/>
        <w:rPr>
          <w:color w:val="000000"/>
          <w:sz w:val="24"/>
          <w:szCs w:val="24"/>
        </w:rPr>
      </w:pPr>
    </w:p>
    <w:p w:rsidR="004E59F4" w:rsidRDefault="00273D75">
      <w:pPr>
        <w:spacing w:line="300" w:lineRule="auto"/>
        <w:jc w:val="both"/>
      </w:pPr>
      <w:r>
        <w:rPr>
          <w:b/>
          <w:bCs/>
          <w:color w:val="000000"/>
          <w:sz w:val="24"/>
          <w:szCs w:val="24"/>
        </w:rPr>
        <w:t>Takie podejście może być jednak kwestionowane przez DKIS oraz organy podatkowe m.in. z uwagi na to, iż:</w:t>
      </w:r>
    </w:p>
    <w:p w:rsidR="004E59F4" w:rsidRDefault="00273D75">
      <w:pPr>
        <w:spacing w:line="300" w:lineRule="auto"/>
        <w:jc w:val="both"/>
      </w:pPr>
      <w:r>
        <w:rPr>
          <w:color w:val="000000"/>
          <w:sz w:val="24"/>
          <w:szCs w:val="24"/>
        </w:rPr>
        <w:t>- będą one podważać to, że usługa transportowa door-to-door (będąca przedmiotem analizowanego projektu) może być traktowana jako zadanie własne JST, czy też uznają, że w tym zakresie JST nie działa w sferze imperium (jako organ władzy publicznej);</w:t>
      </w:r>
    </w:p>
    <w:p w:rsidR="004E59F4" w:rsidRDefault="00273D75">
      <w:pPr>
        <w:spacing w:line="300" w:lineRule="auto"/>
        <w:jc w:val="both"/>
      </w:pPr>
      <w:r>
        <w:rPr>
          <w:color w:val="000000"/>
          <w:sz w:val="24"/>
          <w:szCs w:val="24"/>
        </w:rPr>
        <w:lastRenderedPageBreak/>
        <w:t>- w załączniku I do Dyrektywy VAT wprost wymieniono przewóz osób, jako przypadek w którym podmioty prawa publicznego w każdych okolicznościach uważane są za podatników, chyba że niewielka skala tych działań sprawia, że mogą być one pominięte;</w:t>
      </w:r>
    </w:p>
    <w:p w:rsidR="004E59F4" w:rsidRDefault="00273D75">
      <w:pPr>
        <w:spacing w:line="300" w:lineRule="auto"/>
        <w:jc w:val="both"/>
      </w:pPr>
      <w:r>
        <w:rPr>
          <w:color w:val="000000"/>
          <w:sz w:val="24"/>
          <w:szCs w:val="24"/>
        </w:rPr>
        <w:t>- w zakresie tego typu usług na rynku działać mogą podmioty konkurencyjne, a aktywność JST w tym zakresie mogłaby naruszać konkurencję w znacznym stopniu;</w:t>
      </w:r>
    </w:p>
    <w:p w:rsidR="004E59F4" w:rsidRDefault="00273D75">
      <w:pPr>
        <w:spacing w:line="300" w:lineRule="auto"/>
        <w:jc w:val="both"/>
      </w:pPr>
      <w:r>
        <w:rPr>
          <w:b/>
          <w:bCs/>
          <w:color w:val="000000"/>
          <w:sz w:val="24"/>
          <w:szCs w:val="24"/>
        </w:rPr>
        <w:t>- ale przede wszystkim z uwagi na uznanie, iż realną odpłatnością (wynagrodzeniem) za czynności wykonywane przez JST są jednak środki finansowe przekazywane przez PFRON w ramach analizowanego projektu</w:t>
      </w:r>
      <w:r>
        <w:rPr>
          <w:color w:val="000000"/>
          <w:sz w:val="24"/>
          <w:szCs w:val="24"/>
        </w:rPr>
        <w:t>. W konsekwencji, nie można by twierdzić, że JST nie uzyskuje wynagrodzenia za świadczone usługi (w wariancie bez pobierania opłat) lub też płatności, które otrzymuje od pasażerów pokrywają jedynie małą część ponoszonych kosztów działalności transportowej (w wariancie z pobieraniem opłat).</w:t>
      </w:r>
    </w:p>
    <w:p w:rsidR="004E59F4" w:rsidRDefault="004E59F4">
      <w:pPr>
        <w:spacing w:line="300" w:lineRule="auto"/>
        <w:jc w:val="both"/>
        <w:rPr>
          <w:color w:val="000000"/>
          <w:sz w:val="24"/>
          <w:szCs w:val="24"/>
        </w:rPr>
      </w:pPr>
    </w:p>
    <w:p w:rsidR="004E59F4" w:rsidRDefault="00273D75">
      <w:pPr>
        <w:spacing w:line="300" w:lineRule="auto"/>
        <w:jc w:val="both"/>
      </w:pPr>
      <w:r>
        <w:rPr>
          <w:color w:val="000000"/>
          <w:sz w:val="24"/>
          <w:szCs w:val="24"/>
        </w:rPr>
        <w:t xml:space="preserve">Niezależnie od powyższego, w naszej ocenie, </w:t>
      </w:r>
      <w:r>
        <w:rPr>
          <w:b/>
          <w:bCs/>
          <w:color w:val="000000"/>
          <w:sz w:val="24"/>
          <w:szCs w:val="24"/>
        </w:rPr>
        <w:t xml:space="preserve">argumentować należy jednak, iż w modelu świadczenia usług bezpośrednio przez JST otrzymywane przez JST środki finansowe nie stanowią dotacji, o której mowa w art. 29a ust. 1 ustawy o VAT. </w:t>
      </w:r>
      <w:r>
        <w:rPr>
          <w:color w:val="000000"/>
          <w:sz w:val="24"/>
          <w:szCs w:val="24"/>
        </w:rPr>
        <w:t xml:space="preserve">W naszej ocenie, otrzymana przez JST dotacja nie jest w sposób zindywidualizowany i policzalny związana z ceną danego świadczenia. W oparciu o przedstawiony stan faktyczny nie jest możliwe ustalenie, w jaki sposób dotacja ta będzie związana z ceną usługi realizowanej na rzecz pasażera. Samochód sfinansowany ze środków grantu będzie zresztą wykorzystywany przez JST do świadczenia usług door-to-door zarówno w okresie realizacji projektu (finansowania przez PFRON), jak i po tym okresie. </w:t>
      </w:r>
    </w:p>
    <w:p w:rsidR="004E59F4" w:rsidRDefault="00273D75">
      <w:pPr>
        <w:spacing w:line="300" w:lineRule="auto"/>
        <w:jc w:val="both"/>
      </w:pPr>
      <w:r>
        <w:rPr>
          <w:color w:val="000000"/>
          <w:sz w:val="24"/>
          <w:szCs w:val="24"/>
        </w:rPr>
        <w:t>Naszym zdaniem, w tym modelu świadczenia usług dotacja z PFRON ma postać ogólnej dopłaty do działalności JST w zakresie organizacji transportu door-to-door, a tym samym nie stanowi elementu podstawy opodatkowania VAT zarówno w wariancie, w którym pasażer ponosi odpłatność, jak i w wariancie, w którym takiej odpłatności brak.</w:t>
      </w:r>
    </w:p>
    <w:p w:rsidR="004E59F4" w:rsidRDefault="00273D75">
      <w:pPr>
        <w:spacing w:line="300" w:lineRule="auto"/>
        <w:jc w:val="both"/>
        <w:rPr>
          <w:rFonts w:ascii="Calibri" w:hAnsi="Calibri"/>
          <w:color w:val="000000"/>
          <w:sz w:val="24"/>
          <w:szCs w:val="24"/>
        </w:rPr>
      </w:pPr>
      <w:r>
        <w:rPr>
          <w:color w:val="000000"/>
          <w:sz w:val="24"/>
          <w:szCs w:val="24"/>
        </w:rPr>
        <w:t>W tym kontekście przytoczyć można by m.in. wyrok WSA w Gliwicach z 09.01.2020 r. (sygn. akt I SA/</w:t>
      </w:r>
      <w:proofErr w:type="spellStart"/>
      <w:r>
        <w:rPr>
          <w:color w:val="000000"/>
          <w:sz w:val="24"/>
          <w:szCs w:val="24"/>
        </w:rPr>
        <w:t>Gl</w:t>
      </w:r>
      <w:proofErr w:type="spellEnd"/>
      <w:r>
        <w:rPr>
          <w:color w:val="000000"/>
          <w:sz w:val="24"/>
          <w:szCs w:val="24"/>
        </w:rPr>
        <w:t xml:space="preserve"> 898/19, </w:t>
      </w:r>
      <w:r>
        <w:rPr>
          <w:i/>
          <w:iCs/>
          <w:color w:val="000000"/>
          <w:sz w:val="24"/>
          <w:szCs w:val="24"/>
        </w:rPr>
        <w:t>orzeczenie nieprawomocne</w:t>
      </w:r>
      <w:r>
        <w:rPr>
          <w:color w:val="000000"/>
          <w:sz w:val="24"/>
          <w:szCs w:val="24"/>
        </w:rPr>
        <w:t xml:space="preserve">), w którym czytamy m.in., że </w:t>
      </w:r>
      <w:r>
        <w:rPr>
          <w:i/>
          <w:iCs/>
          <w:color w:val="000000"/>
          <w:sz w:val="24"/>
          <w:szCs w:val="24"/>
        </w:rPr>
        <w:t>„</w:t>
      </w:r>
      <w:r>
        <w:rPr>
          <w:b/>
          <w:bCs/>
          <w:i/>
          <w:iCs/>
          <w:color w:val="000000"/>
          <w:sz w:val="24"/>
          <w:szCs w:val="24"/>
        </w:rPr>
        <w:t>gdy dofinansowanie przeznaczane jest na</w:t>
      </w:r>
      <w:r>
        <w:rPr>
          <w:i/>
          <w:iCs/>
          <w:color w:val="000000"/>
          <w:sz w:val="24"/>
          <w:szCs w:val="24"/>
        </w:rPr>
        <w:t xml:space="preserve"> ogólną działalność beneficjenta lub na </w:t>
      </w:r>
      <w:r>
        <w:rPr>
          <w:b/>
          <w:bCs/>
          <w:i/>
          <w:iCs/>
          <w:color w:val="000000"/>
          <w:sz w:val="24"/>
          <w:szCs w:val="24"/>
        </w:rPr>
        <w:t>globalną realizację konkretnego programu uznaje się, że kwota dofinansowania nie ma bezpośredniego wpływu na cenę</w:t>
      </w:r>
      <w:r>
        <w:rPr>
          <w:i/>
          <w:iCs/>
          <w:color w:val="000000"/>
          <w:sz w:val="24"/>
          <w:szCs w:val="24"/>
        </w:rPr>
        <w:t>”.</w:t>
      </w:r>
    </w:p>
    <w:p w:rsidR="004E59F4" w:rsidRDefault="00273D75">
      <w:pPr>
        <w:spacing w:line="300" w:lineRule="auto"/>
        <w:jc w:val="both"/>
      </w:pPr>
      <w:r>
        <w:rPr>
          <w:color w:val="000000"/>
          <w:sz w:val="24"/>
          <w:szCs w:val="24"/>
        </w:rPr>
        <w:t xml:space="preserve">Analizowany stan faktyczny postrzegać można by także przez pryzmat wyroku NSA z 05.02.2015 r. (sygn. akt I FSK 821/13), w którym NSA rozważał kwestię dotacji na dofinansowanie projektu szkoleniowego, gdzie kwota dotacji stanowiła określony procent całkowitych wydatków kwalifikowanych projektu i przeznaczona była na pokrycie ściśle określonych wydatków ponoszonych przez organizatora projektu. W powołanym orzeczeniu </w:t>
      </w:r>
      <w:r>
        <w:rPr>
          <w:color w:val="000000"/>
          <w:sz w:val="24"/>
          <w:szCs w:val="24"/>
        </w:rPr>
        <w:lastRenderedPageBreak/>
        <w:t xml:space="preserve">czytamy w szczególności, iż, </w:t>
      </w:r>
      <w:r>
        <w:rPr>
          <w:i/>
          <w:iCs/>
          <w:color w:val="000000"/>
          <w:sz w:val="24"/>
          <w:szCs w:val="24"/>
        </w:rPr>
        <w:t xml:space="preserve">„Mając na uwadze to, że przyznana skarżącej dotacja przeznaczona jest na wydatki niezbędne do wykonania całego realizowanego przez skarżąca projektu, to nie jest ona wbrew temu co przyjął Sąd pierwszej instancji związana bezpośrednio z usługą szkoleniową wykonywaną przez skarżącą” </w:t>
      </w:r>
      <w:r>
        <w:rPr>
          <w:color w:val="000000"/>
          <w:sz w:val="24"/>
          <w:szCs w:val="24"/>
        </w:rPr>
        <w:t>oraz, że</w:t>
      </w:r>
      <w:r>
        <w:rPr>
          <w:i/>
          <w:iCs/>
          <w:color w:val="000000"/>
          <w:sz w:val="24"/>
          <w:szCs w:val="24"/>
        </w:rPr>
        <w:t xml:space="preserve"> „...</w:t>
      </w:r>
      <w:r>
        <w:rPr>
          <w:i/>
          <w:iCs/>
          <w:color w:val="000000"/>
          <w:sz w:val="24"/>
          <w:szCs w:val="24"/>
          <w:u w:val="single"/>
        </w:rPr>
        <w:t xml:space="preserve">To, że uczestnik szkolenia w rezultacie ponosi niższe koszty szkolenia wbrew temu co przyjął Sąd pierwszej instancji nie ma większego wpływu na ocenę czy dotacja stanowi obrót </w:t>
      </w:r>
      <w:r>
        <w:rPr>
          <w:i/>
          <w:iCs/>
          <w:color w:val="000000"/>
          <w:sz w:val="24"/>
          <w:szCs w:val="24"/>
        </w:rPr>
        <w:t xml:space="preserve">w rozumieniu art. 29 ust. 1 </w:t>
      </w:r>
      <w:proofErr w:type="spellStart"/>
      <w:r>
        <w:rPr>
          <w:i/>
          <w:iCs/>
          <w:color w:val="000000"/>
          <w:sz w:val="24"/>
          <w:szCs w:val="24"/>
        </w:rPr>
        <w:t>u.p.t.u</w:t>
      </w:r>
      <w:proofErr w:type="spellEnd"/>
      <w:r>
        <w:rPr>
          <w:i/>
          <w:iCs/>
          <w:color w:val="000000"/>
          <w:sz w:val="24"/>
          <w:szCs w:val="24"/>
        </w:rPr>
        <w:t>. czy też nie”</w:t>
      </w:r>
      <w:r>
        <w:rPr>
          <w:color w:val="000000"/>
          <w:sz w:val="24"/>
          <w:szCs w:val="24"/>
        </w:rPr>
        <w:t xml:space="preserve">. Dla porządku wskazać należy, iż orzeczenie to zapadło na gruncie art. 29 ust. 1 ustawy o VAT (obowiązującego do 31 grudnia 2013 r.), jednakże jego tezy pozostają aktualne także na gruncie regulacji art. 29a ust. 1 ustawy o VAT (obowiązującej od 1 stycznia 2014 r.), jako że nowelizacja ustawy o VAT w tym zakresie miała jedynie na celu „pełniejsze odzwierciedlenie przepisów Dyrektywy 2006/112/WE”. </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pPr>
      <w:r>
        <w:rPr>
          <w:color w:val="000000"/>
          <w:sz w:val="24"/>
          <w:szCs w:val="24"/>
        </w:rPr>
        <w:t>W naszej ocenie, powyższej tezy nie powinno zmieniać to, że JST - na podstawie zaplanowanych średnio-miesięcznych kosztów oraz zaplanowanej liczby użytkowników - jest w stanie wyliczyć średni koszt przejazdu jednego pasażera.</w:t>
      </w:r>
    </w:p>
    <w:p w:rsidR="004E59F4" w:rsidRDefault="00273D75">
      <w:pPr>
        <w:spacing w:line="300" w:lineRule="auto"/>
        <w:jc w:val="both"/>
        <w:rPr>
          <w:rFonts w:ascii="Calibri" w:hAnsi="Calibri"/>
          <w:color w:val="000000"/>
          <w:sz w:val="24"/>
          <w:szCs w:val="24"/>
        </w:rPr>
      </w:pPr>
      <w:r>
        <w:rPr>
          <w:color w:val="000000"/>
          <w:sz w:val="24"/>
          <w:szCs w:val="24"/>
        </w:rPr>
        <w:t>W stanie faktycznym wskazano też, iż istnieje zależność pomiędzy ilością zrealizowanych usług a wysokością grantu, bowiem grant jest przyznawany na pokrycie wydatków kwalifikowalnych (w tym zakup, zakup i montaż wyposażenia pojazdu, leasing pojazd, koszty serwisu i paliwa, koszty wynagrodzenia personelu, koszty opracowania lub zakupu aplikacji internetowej do zamawiania i monitorowania przejazdów, zakup i montaż stacji dokujących dla samochodów elektrycznych, koszty ubezpieczenia, koszty niezbędnych szkoleń dla kierowców i asystentów), a jednym z czynników determinujących koszt usługi transportu jest wielkość popytu na daną usługę.</w:t>
      </w:r>
    </w:p>
    <w:p w:rsidR="004E59F4" w:rsidRDefault="00273D75">
      <w:pPr>
        <w:spacing w:line="300" w:lineRule="auto"/>
        <w:jc w:val="both"/>
        <w:rPr>
          <w:rFonts w:ascii="Calibri" w:hAnsi="Calibri"/>
          <w:color w:val="000000"/>
          <w:sz w:val="24"/>
          <w:szCs w:val="24"/>
        </w:rPr>
      </w:pPr>
      <w:r>
        <w:rPr>
          <w:color w:val="000000"/>
          <w:sz w:val="24"/>
          <w:szCs w:val="24"/>
        </w:rPr>
        <w:t>W naszej ocenie ten związek jest jednak pośredni. Finansowanie przyznawane jest niewątpliwie do kosztów zorganizowania usług transportowych. Ogólne (całościowe) koszty (a tym samym wysokość grantu) powinny zasadniczo rosnąć wraz ze wzrostem ilości usług, głównie z uwagi na zwiększone koszty paliwa. W tym zakresie nie ma jednak prostej zależności, bowiem przykładowo przy przewiezieniu jednocześnie 2. pasażerów na tej samej trasie (pomimo zwiększenia ilości usług) ogólny koszt działalności transportowej nie powinien wzrosnąć. Zresztą, koszt jednostkowy usługi transportowej powinien się zasadniczo obniżać wraz z ilością zrealizowanych usług. Wynika to głównie z faktu, iż w przypadku samodzielnego świadczenia usług przez JST, w ramach dopuszczalnych wydatków kwalifikowalnych mieszczą się bowiem przede wszystkim wydatki/koszty, które są niezależne od ilości przewiezionych osób (czy też przejechanych kilometrów), tj. np. zakup pojazdu, wynagrodzenie kierowcy (zakładając, że będzie to stałe wynagrodzenie miesięczne).</w:t>
      </w:r>
    </w:p>
    <w:p w:rsidR="004E59F4" w:rsidRDefault="00273D75">
      <w:pPr>
        <w:spacing w:line="300" w:lineRule="auto"/>
        <w:jc w:val="both"/>
      </w:pPr>
      <w:r>
        <w:rPr>
          <w:color w:val="000000"/>
          <w:sz w:val="24"/>
          <w:szCs w:val="24"/>
        </w:rPr>
        <w:lastRenderedPageBreak/>
        <w:t>Możliwy do ustalenia koszt jednostkowy będzie to bowiem wartość średnia (ustalona jako iloraz całości kosztów w danym okresie oraz ilości zrealizowanych w tym okresie usług/kursów). Ewentualnie, można by ustalać koszt przejechania 1 kilometra (jako iloraz całości kosztów w danym okresie oraz ilości przejechanych w tym okresie kilometrów w ramach świadczenia usług).</w:t>
      </w:r>
    </w:p>
    <w:p w:rsidR="004E59F4" w:rsidRDefault="00273D75">
      <w:pPr>
        <w:spacing w:line="300" w:lineRule="auto"/>
        <w:jc w:val="both"/>
      </w:pPr>
      <w:r>
        <w:rPr>
          <w:color w:val="000000"/>
          <w:sz w:val="24"/>
          <w:szCs w:val="24"/>
        </w:rPr>
        <w:t xml:space="preserve">Na tej podstawie nie można zatem powiedzieć, że pomiędzy wysokością grantu (dotacji), a ilością zrealizowanych usług i odpłatnością za te usługi istnieje zależność tego rodzaju, że wraz z ze wzrostem grantu odpłatność (cena) za usługę obniża się. Jak zresztą wskazano w stanie faktycznym, wysokość dofinansowania określana jest w odniesieniu do racjonalności wydatków zaplanowanych na realizację usług w budżecie, a oceny tej będą dokonywali eksperci oceniający złożony projekt.  </w:t>
      </w:r>
    </w:p>
    <w:p w:rsidR="004E59F4" w:rsidRDefault="00273D75">
      <w:pPr>
        <w:spacing w:line="300" w:lineRule="auto"/>
        <w:jc w:val="both"/>
        <w:rPr>
          <w:rFonts w:ascii="Calibri" w:hAnsi="Calibri"/>
          <w:color w:val="000000"/>
          <w:sz w:val="24"/>
          <w:szCs w:val="24"/>
        </w:rPr>
      </w:pPr>
      <w:r>
        <w:rPr>
          <w:color w:val="000000"/>
          <w:sz w:val="24"/>
          <w:szCs w:val="24"/>
        </w:rPr>
        <w:t>Ze stanu faktycznego wynika jednak także, iż w przypadku zaplanowania przez jednostkę samorządu terytorialnego pobierania opłat za usługi transportowe door-to-door, jednostka będzie rozliczała te środki jako dochód uzyskany w wyniku realizacji projektu i dochód ten będzie podlegał zwrotowi na konto wskazane przez PFRON w terminie 30 dni kalendarzowych od zakończenia realizacji i rozliczenia projektu grantowego. Dopuszczalna jest natomiast sytuacja, gdy opłaty będą pobierane przez JST dopiero po zakończeniu realizacji projektu, w okresie jego trwałości (nawet w sytuacji braku ich pobierania w okresie realizacji projektu) i wówczas nie podlegają one zwrotowi.</w:t>
      </w:r>
    </w:p>
    <w:p w:rsidR="004E59F4" w:rsidRDefault="00273D75">
      <w:pPr>
        <w:spacing w:line="300" w:lineRule="auto"/>
        <w:jc w:val="both"/>
        <w:rPr>
          <w:rFonts w:ascii="Calibri" w:hAnsi="Calibri"/>
          <w:color w:val="000000"/>
          <w:sz w:val="24"/>
          <w:szCs w:val="24"/>
        </w:rPr>
      </w:pPr>
      <w:r>
        <w:rPr>
          <w:color w:val="000000"/>
          <w:sz w:val="24"/>
          <w:szCs w:val="24"/>
        </w:rPr>
        <w:t>Z powyższego wynika zatem, iż w okresie realizacji projektu JST de facto nie może generować zysku na świadczeniu usług, tj. niezależnie od wysokości opłaty, jaką będzie pobierała od użytkownika i tak musi dokonać jej zwrotu, a jedynymi środkami finansowymi, które uzyska w związku z prowadzeniem tej działalności w okresie realizacji projektu będzie właśnie grant z PFRON.</w:t>
      </w:r>
    </w:p>
    <w:p w:rsidR="004E59F4" w:rsidRDefault="004E59F4">
      <w:pPr>
        <w:spacing w:line="300" w:lineRule="auto"/>
        <w:jc w:val="both"/>
        <w:rPr>
          <w:rFonts w:ascii="Calibri" w:hAnsi="Calibri"/>
          <w:color w:val="000000"/>
          <w:sz w:val="12"/>
          <w:szCs w:val="12"/>
        </w:rPr>
      </w:pPr>
    </w:p>
    <w:p w:rsidR="004E59F4" w:rsidRDefault="00273D75">
      <w:pPr>
        <w:spacing w:line="300" w:lineRule="auto"/>
        <w:jc w:val="both"/>
      </w:pPr>
      <w:r>
        <w:rPr>
          <w:color w:val="000000"/>
          <w:sz w:val="24"/>
          <w:szCs w:val="24"/>
        </w:rPr>
        <w:t xml:space="preserve">W naszej ocenie, na tej podstawie nie można jednak nadal postawić tezy, iż wraz z ze wzrostem grantu odpłatność (cena) za usługę obniża się. </w:t>
      </w:r>
      <w:proofErr w:type="spellStart"/>
      <w:r>
        <w:rPr>
          <w:color w:val="000000"/>
          <w:sz w:val="24"/>
          <w:szCs w:val="24"/>
        </w:rPr>
        <w:t>Możnaby</w:t>
      </w:r>
      <w:proofErr w:type="spellEnd"/>
      <w:r>
        <w:rPr>
          <w:color w:val="000000"/>
          <w:sz w:val="24"/>
          <w:szCs w:val="24"/>
        </w:rPr>
        <w:t xml:space="preserve"> bowiem co najwyżej wskazać, iż wraz ze wzrostem odpłatności za usługi, obniżone zostanie finansowanie przez PFRON. Jednakże nawet i to stwierdzenie byłoby nieuprawnione, bowiem ze stanu faktycznego wynika, iż JST będzie zwracać pobrane opłaty jako dochód w projekcie (co nie jest przecież równoznaczne z obniżeniem grantu, który nadal będzie zależał od kosztów działalności transportowej uznanych za wydatki kwalifikowalne).</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color w:val="000000"/>
          <w:sz w:val="24"/>
          <w:szCs w:val="24"/>
        </w:rPr>
      </w:pPr>
      <w:r>
        <w:rPr>
          <w:color w:val="000000"/>
          <w:sz w:val="24"/>
          <w:szCs w:val="24"/>
        </w:rPr>
        <w:t xml:space="preserve">Kwestia ta nie jest jednak jednoznaczna. Jak bowiem wskazano już powyżej, finansowanie (grant) z PFRON przyznawane jest niewątpliwie do kosztów zorganizowania usług </w:t>
      </w:r>
      <w:r>
        <w:rPr>
          <w:color w:val="000000"/>
          <w:sz w:val="24"/>
          <w:szCs w:val="24"/>
        </w:rPr>
        <w:lastRenderedPageBreak/>
        <w:t>transportowych door-to-door, a w wyniku tej działalności (uruchomienia tych usług) realizowane będą świadczenia na rzecz osób fizycznych (i możliwe będzie zidentyfikowanie beneficjenta/ów świadczenia). Ponadto, w okresie realizacji projektu (bez względu na to, czy usługa dla ostatecznego użytkownika będzie odpłatna, czy też nieodpłatna), jedynymi środkami finansowymi, które JST w ostatecznym rozrachunku definitywnie uzyska w związku z prowadzeniem tej działalności w okresie realizacji projektu, będzie właśnie grant z PFRON (bowiem w przypadku wprowadzenia częściowej odpłatności i tak środki te będą podlegały zwrotowi przez JST jako dochód w projekcie).</w:t>
      </w:r>
    </w:p>
    <w:p w:rsidR="004E59F4" w:rsidRDefault="004E59F4">
      <w:pPr>
        <w:spacing w:line="300" w:lineRule="auto"/>
        <w:jc w:val="both"/>
      </w:pPr>
    </w:p>
    <w:p w:rsidR="004E59F4" w:rsidRDefault="00273D75">
      <w:pPr>
        <w:spacing w:line="300" w:lineRule="auto"/>
        <w:jc w:val="both"/>
      </w:pPr>
      <w:r>
        <w:rPr>
          <w:color w:val="000000"/>
          <w:sz w:val="24"/>
          <w:szCs w:val="24"/>
        </w:rPr>
        <w:t>Mając ponadto na uwadze bieżącą linię interpretacyjną DKIS,</w:t>
      </w:r>
      <w:r>
        <w:rPr>
          <w:b/>
          <w:bCs/>
          <w:color w:val="000000"/>
          <w:sz w:val="24"/>
          <w:szCs w:val="24"/>
        </w:rPr>
        <w:t xml:space="preserve"> istnieje zatem duże ryzyko odmiennego podejścia DKIS oraz organów podatkowych do sposobu ujęcia dla celów VAT dotacji w tym modelu świadczenia usług.</w:t>
      </w:r>
    </w:p>
    <w:p w:rsidR="004E59F4" w:rsidRDefault="00273D75">
      <w:pPr>
        <w:spacing w:line="300" w:lineRule="auto"/>
        <w:jc w:val="both"/>
        <w:rPr>
          <w:rFonts w:ascii="Calibri" w:hAnsi="Calibri"/>
          <w:color w:val="000000"/>
          <w:sz w:val="24"/>
          <w:szCs w:val="24"/>
        </w:rPr>
      </w:pPr>
      <w:r>
        <w:rPr>
          <w:color w:val="000000"/>
          <w:sz w:val="24"/>
          <w:szCs w:val="24"/>
        </w:rPr>
        <w:t xml:space="preserve">Interpretacje indywidualne wydawane ostatnio przez DKIS </w:t>
      </w:r>
      <w:r>
        <w:rPr>
          <w:sz w:val="24"/>
          <w:szCs w:val="24"/>
        </w:rPr>
        <w:t>wskazują bowiem na niekorzystny trend, tj. kształtowanie się linii interpretacyjnej, zgodnie z którą w zasadzie wszelkie dotacje w projektach, w których finalnym efektem jest osiągnięcie jakiejkolwiek korzyści przez dany podmiot (beneficjenta ostatecznego), należy uwzględnić w podstawie opodatkowania VAT.</w:t>
      </w:r>
    </w:p>
    <w:p w:rsidR="004E59F4" w:rsidRDefault="00273D75">
      <w:pPr>
        <w:spacing w:line="300" w:lineRule="auto"/>
        <w:jc w:val="both"/>
        <w:rPr>
          <w:rFonts w:ascii="Calibri" w:hAnsi="Calibri"/>
          <w:color w:val="000000"/>
          <w:sz w:val="24"/>
          <w:szCs w:val="24"/>
        </w:rPr>
      </w:pPr>
      <w:r>
        <w:rPr>
          <w:color w:val="000000"/>
          <w:sz w:val="24"/>
          <w:szCs w:val="24"/>
        </w:rPr>
        <w:t>Jako przykład, powołać można tu m.in.:</w:t>
      </w:r>
    </w:p>
    <w:p w:rsidR="004E59F4" w:rsidRDefault="00273D75">
      <w:pPr>
        <w:spacing w:line="300" w:lineRule="auto"/>
        <w:jc w:val="both"/>
      </w:pPr>
      <w:r>
        <w:rPr>
          <w:color w:val="000000"/>
          <w:sz w:val="24"/>
          <w:szCs w:val="24"/>
        </w:rPr>
        <w:t>- interpretacje z 22.02.2019 r. (0114-KDIP4.4012.748.2018.3.AK) oraz z 05.07.2019 r. (0113-KDIPT1-1.4012.260.2019.1.AK), które dotyczą przedsiębiorców realizujących projekty w ramach Osi Priorytetowej IX Wspieranie włączenia społecznego i walka z ubóstwem, Działania 9.1 Aktywizacja społeczno-zawodowa osób wykluczonych i przeciwdziałanie wykluczeniu społecznemu;</w:t>
      </w:r>
    </w:p>
    <w:p w:rsidR="004E59F4" w:rsidRDefault="00273D75">
      <w:pPr>
        <w:spacing w:line="300" w:lineRule="auto"/>
        <w:jc w:val="both"/>
      </w:pPr>
      <w:r>
        <w:rPr>
          <w:color w:val="000000"/>
          <w:sz w:val="24"/>
          <w:szCs w:val="24"/>
        </w:rPr>
        <w:t xml:space="preserve">- interpretację z 26.02.2020 r. (0111-KDIB3-3.4012.456.2019.3.MS), dotyczącą podmiotu, który jako partner uczestniczy w projekcie rozwijania centrów transferu wiedzy w ramach RPO WM na lata 2014-2020. Czytamy tam m.in., iż </w:t>
      </w:r>
      <w:r>
        <w:rPr>
          <w:i/>
          <w:iCs/>
          <w:color w:val="000000"/>
          <w:sz w:val="24"/>
          <w:szCs w:val="24"/>
        </w:rPr>
        <w:t xml:space="preserve">„dotacja, którą otrzyma Wnioskodawca będzie dofinansowaniem na pokrycie wydatków związanych ze świadczeniem usług w ramach realizowanego projektu i należy uznać ją za środki finansowe mające bezpośredni wpływ na cenę tych usług, gdyż </w:t>
      </w:r>
      <w:r>
        <w:rPr>
          <w:i/>
          <w:iCs/>
          <w:color w:val="000000"/>
          <w:sz w:val="24"/>
          <w:szCs w:val="24"/>
          <w:u w:val="single"/>
        </w:rPr>
        <w:t>dzięki dofinansowaniu uczestnicy ww. projektu będą brali w nim udział płacąc za usługi obniżoną cenę, a w normalnych warunkach rynkowych musieliby zapłacić cenę za usługi w wysokości co najmniej równej wydatkom związanym z ich organizacją i przeprowadzeniem;</w:t>
      </w:r>
    </w:p>
    <w:p w:rsidR="004E59F4" w:rsidRDefault="00273D75">
      <w:pPr>
        <w:spacing w:line="300" w:lineRule="auto"/>
        <w:jc w:val="both"/>
      </w:pPr>
      <w:r>
        <w:rPr>
          <w:color w:val="000000"/>
          <w:sz w:val="24"/>
          <w:szCs w:val="24"/>
        </w:rPr>
        <w:t xml:space="preserve">- czy też interpretację z 28.02.2020 r. (0114-KDIP4-2.4012.72.2019.2.WH), w której uznano, iż podmiot (lider w projekcie), który otrzymuje dofinansowanie na działania polegające m.in. na prowadzeniu punktu kontaktowego dla przedsiębiorców i organizacji kampanii informacyjnej, mającej na celu zachęcenie przedsiębiorców do korzystania z usług partnerów w projekcie, </w:t>
      </w:r>
      <w:r>
        <w:rPr>
          <w:color w:val="000000"/>
          <w:sz w:val="24"/>
          <w:szCs w:val="24"/>
        </w:rPr>
        <w:lastRenderedPageBreak/>
        <w:t xml:space="preserve">również wykonuje usługi podlegające VAT, a wynagrodzeniem za te usługi jest właśnie to dofinansowanie.  </w:t>
      </w:r>
    </w:p>
    <w:p w:rsidR="004E59F4" w:rsidRDefault="004E59F4">
      <w:pPr>
        <w:spacing w:line="300" w:lineRule="auto"/>
        <w:jc w:val="both"/>
      </w:pPr>
    </w:p>
    <w:p w:rsidR="004E59F4" w:rsidRDefault="00273D75">
      <w:pPr>
        <w:spacing w:line="300" w:lineRule="auto"/>
        <w:jc w:val="both"/>
      </w:pPr>
      <w:r>
        <w:rPr>
          <w:color w:val="000000"/>
          <w:sz w:val="24"/>
          <w:szCs w:val="24"/>
        </w:rPr>
        <w:t>Dlatego też, mając na uwadze ryzyko podatkowe, zalecanym działaniem byłoby wystąpienie do DKIS z wnioskiem o interpretację w tym zakresie.</w:t>
      </w:r>
    </w:p>
    <w:p w:rsidR="004E59F4" w:rsidRDefault="00273D75">
      <w:pPr>
        <w:spacing w:line="300" w:lineRule="auto"/>
        <w:jc w:val="both"/>
        <w:rPr>
          <w:rFonts w:ascii="Calibri" w:hAnsi="Calibri"/>
          <w:color w:val="000000"/>
          <w:sz w:val="24"/>
          <w:szCs w:val="24"/>
        </w:rPr>
      </w:pPr>
      <w:r>
        <w:rPr>
          <w:sz w:val="24"/>
          <w:szCs w:val="24"/>
        </w:rPr>
        <w:t>W przypadku, gdy JST uzyskałaby niekorzystną interpretację (co jest wielce prawdopodobne), zalecanym działaniem byłoby wniesienie skargi do WSA, a następnie ewentualnie skargi kasacyjnej do NSA. W świetle przedstawionych powyżej argumentów, dostrzegamy bowiem szanse na pozytywne rozstrzygnięcie sprawy na etapie sądowo-administracyjnym.</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b/>
          <w:bCs/>
          <w:color w:val="000000"/>
          <w:sz w:val="24"/>
          <w:szCs w:val="24"/>
          <w:u w:val="single"/>
        </w:rPr>
      </w:pPr>
      <w:r>
        <w:rPr>
          <w:b/>
          <w:bCs/>
          <w:color w:val="000000"/>
          <w:sz w:val="24"/>
          <w:szCs w:val="24"/>
          <w:u w:val="single"/>
        </w:rPr>
        <w:t>Reasumując:</w:t>
      </w:r>
    </w:p>
    <w:p w:rsidR="004E59F4" w:rsidRDefault="00273D75">
      <w:pPr>
        <w:spacing w:line="300" w:lineRule="auto"/>
        <w:jc w:val="both"/>
      </w:pPr>
      <w:r>
        <w:rPr>
          <w:color w:val="000000"/>
          <w:sz w:val="24"/>
          <w:szCs w:val="24"/>
        </w:rPr>
        <w:t xml:space="preserve">1) W naszej ocenie, </w:t>
      </w:r>
      <w:r>
        <w:rPr>
          <w:b/>
          <w:bCs/>
          <w:color w:val="000000"/>
          <w:sz w:val="24"/>
          <w:szCs w:val="24"/>
        </w:rPr>
        <w:t xml:space="preserve">w omawianym modelu świadczenia usług (przy samodzielnym świadczeniu usług przez JST) otrzymywane przez JST środki finansowe nie stanowią dotacji, o której mowa w art. 29a ust. 1 ustawy o VAT, </w:t>
      </w:r>
      <w:r>
        <w:rPr>
          <w:color w:val="000000"/>
          <w:sz w:val="24"/>
          <w:szCs w:val="24"/>
        </w:rPr>
        <w:t>a tym samym nie stanowi ona elementu podstawy opodatkowania VAT ewentualnej usługi świadczonej przez JST na rzecz pasażera.</w:t>
      </w:r>
    </w:p>
    <w:p w:rsidR="004E59F4" w:rsidRDefault="00273D75">
      <w:pPr>
        <w:spacing w:line="300" w:lineRule="auto"/>
        <w:jc w:val="both"/>
      </w:pPr>
      <w:r>
        <w:rPr>
          <w:color w:val="000000"/>
          <w:sz w:val="24"/>
          <w:szCs w:val="24"/>
        </w:rPr>
        <w:t>2) Mając jednak na uwadze bieżącą linię interpretacyjną DKIS,</w:t>
      </w:r>
      <w:r>
        <w:rPr>
          <w:b/>
          <w:bCs/>
          <w:color w:val="000000"/>
          <w:sz w:val="24"/>
          <w:szCs w:val="24"/>
        </w:rPr>
        <w:t xml:space="preserve"> istnieje duże ryzyko odmiennego podejścia i z tego też względu – w naszej ocenie – JST, która (w tym modelu) zamierza deklarować VAT jako wydatek kwalifikowalny (uznając, iż nie będzie dokonywać odpłatnego świadczenia usług na rzecz pasażerów, w tym z uwagi na to, że dotacja nie stanowi elementu podstawy opodatkowania VAT tej usługi), powinna potwierdzić to interpretacją DKIS.</w:t>
      </w:r>
    </w:p>
    <w:p w:rsidR="004E59F4" w:rsidRDefault="00273D75">
      <w:pPr>
        <w:spacing w:line="300" w:lineRule="auto"/>
        <w:jc w:val="both"/>
      </w:pPr>
      <w:r>
        <w:rPr>
          <w:color w:val="000000"/>
          <w:sz w:val="24"/>
          <w:szCs w:val="24"/>
        </w:rPr>
        <w:t xml:space="preserve">Jeśli chodzi natomiast o </w:t>
      </w:r>
      <w:r>
        <w:rPr>
          <w:b/>
          <w:bCs/>
          <w:color w:val="000000"/>
          <w:sz w:val="24"/>
          <w:szCs w:val="24"/>
        </w:rPr>
        <w:t>przypadek, gdy usługi na rzecz pasażerów świadczy spółka komunalna</w:t>
      </w:r>
      <w:r>
        <w:rPr>
          <w:color w:val="000000"/>
          <w:sz w:val="24"/>
          <w:szCs w:val="24"/>
        </w:rPr>
        <w:t>, to z opisu sprawy wynikałoby, iż w tym modelu pomiędzy JST a pasażerem nie istnieje stosunek prawny, na mocy którego dochodziłoby do wymiany świadczeń wzajemnych. W tym modelu o takim stosunku prawnym będzie można mówić jedynie w relacji JST – SK (oraz SK - pasażer).</w:t>
      </w:r>
    </w:p>
    <w:p w:rsidR="004E59F4" w:rsidRDefault="00273D75">
      <w:pPr>
        <w:spacing w:line="300" w:lineRule="auto"/>
        <w:jc w:val="both"/>
      </w:pPr>
      <w:r>
        <w:rPr>
          <w:color w:val="000000"/>
          <w:sz w:val="24"/>
          <w:szCs w:val="24"/>
        </w:rPr>
        <w:t>Tym samym, przyjąć należy, iż JST nie świadczy usługi na rzecz pasażera, co oznacza, że otrzymane przez JST środki z PFRON nie będą mogły być uznane za dotację, o której mowa w art. 29a ust. 1 ustawy o VAT (tj. mającą bezpośredni wpływ na cenę świadczonych przez JST usług), bowiem JST takich usług nie będzie świadczyć. W takim przypadku JST nie byłyby zatem zobowiązane do wykazania ww. dotacji dla celów VAT.</w:t>
      </w:r>
    </w:p>
    <w:p w:rsidR="004E59F4" w:rsidRDefault="00273D75">
      <w:pPr>
        <w:spacing w:line="300" w:lineRule="auto"/>
        <w:jc w:val="both"/>
      </w:pPr>
      <w:r>
        <w:rPr>
          <w:color w:val="000000"/>
          <w:sz w:val="24"/>
          <w:szCs w:val="24"/>
        </w:rPr>
        <w:t xml:space="preserve">Dla porządku wskazać należy jednak na ryzyko zakwestionowania takiego podejścia przez DKIS/organy podatkowe, które mogą jednak doszukiwać się tu świadczenia przez JST usługi na rzecz pasażera na podstawie art. 8 ust. 2a ustawy o VAT. </w:t>
      </w:r>
    </w:p>
    <w:p w:rsidR="004E59F4" w:rsidRDefault="00273D75">
      <w:pPr>
        <w:spacing w:line="300" w:lineRule="auto"/>
        <w:jc w:val="both"/>
      </w:pPr>
      <w:r>
        <w:rPr>
          <w:color w:val="000000"/>
          <w:sz w:val="24"/>
          <w:szCs w:val="24"/>
        </w:rPr>
        <w:lastRenderedPageBreak/>
        <w:t>Zgodnie bowiem z tym przepisem, w przypadku gdy podatnik, działając we własnym imieniu, ale na rzecz osoby trzeciej, bierze udział w świadczeniu usług, przyjmuje się, że ten podatnik sam otrzymał i wyświadczył te usługi.</w:t>
      </w:r>
    </w:p>
    <w:p w:rsidR="004E59F4" w:rsidRDefault="00273D75">
      <w:pPr>
        <w:spacing w:line="300" w:lineRule="auto"/>
        <w:jc w:val="both"/>
      </w:pPr>
      <w:r>
        <w:rPr>
          <w:color w:val="000000"/>
          <w:sz w:val="24"/>
          <w:szCs w:val="24"/>
        </w:rPr>
        <w:t>Organy podatkowe mogłyby zatem uznać, iż JST niejako nabywa usługę od SK, a następnie „odsprzedaje” ją na rzecz pasażera (jako, że zawiera co prawda umowę z SK we własnym imieniu, ale czyni to na rzecz osoby trzeciej, tzn. pasażera).</w:t>
      </w:r>
    </w:p>
    <w:p w:rsidR="004E59F4" w:rsidRDefault="00273D75">
      <w:pPr>
        <w:spacing w:line="300" w:lineRule="auto"/>
        <w:jc w:val="both"/>
      </w:pPr>
      <w:r>
        <w:rPr>
          <w:color w:val="000000"/>
          <w:sz w:val="24"/>
          <w:szCs w:val="24"/>
        </w:rPr>
        <w:t xml:space="preserve">Odrębną kwestią jest już natomiast powiązanie przedmiotowej dotacji (przeznaczonej przez JST na sfinansowanie umowy zawartej z SK) z usługami świadczonymi przez SK. </w:t>
      </w:r>
    </w:p>
    <w:p w:rsidR="004E59F4" w:rsidRDefault="00273D75">
      <w:pPr>
        <w:spacing w:line="300" w:lineRule="auto"/>
        <w:jc w:val="both"/>
      </w:pPr>
      <w:r>
        <w:rPr>
          <w:color w:val="000000"/>
          <w:sz w:val="24"/>
          <w:szCs w:val="24"/>
        </w:rPr>
        <w:t>Mając na uwadze powołane w niniejszej ekspertyzie interpretacje DKIS wskazać należy bowiem na ryzyko uznania, iż środki (z dotacji) przekazywane przez JST do SK (w ramach „wynagrodzenia”/rekompensaty za zlecone/powierzone usługi) stanowią:</w:t>
      </w:r>
    </w:p>
    <w:p w:rsidR="004E59F4" w:rsidRDefault="00273D75">
      <w:pPr>
        <w:spacing w:line="300" w:lineRule="auto"/>
        <w:jc w:val="both"/>
      </w:pPr>
      <w:r>
        <w:rPr>
          <w:color w:val="000000"/>
          <w:sz w:val="24"/>
          <w:szCs w:val="24"/>
        </w:rPr>
        <w:t>- wynagrodzenie za usługę opodatkowaną VAT świadczoną przez SK na rzecz JST,</w:t>
      </w:r>
    </w:p>
    <w:p w:rsidR="004E59F4" w:rsidRDefault="00273D75">
      <w:pPr>
        <w:spacing w:line="300" w:lineRule="auto"/>
        <w:jc w:val="both"/>
      </w:pPr>
      <w:r>
        <w:rPr>
          <w:color w:val="000000"/>
          <w:sz w:val="24"/>
          <w:szCs w:val="24"/>
        </w:rPr>
        <w:t>- element podstawy opodatkowania (dotację, o której mowa w art. 29a ust. 1 ustawy o VAT) usługi świadczonej przez SK na rzecz pasażerów.</w:t>
      </w:r>
    </w:p>
    <w:p w:rsidR="004E59F4" w:rsidRDefault="004E59F4">
      <w:pPr>
        <w:spacing w:line="300" w:lineRule="auto"/>
        <w:jc w:val="both"/>
        <w:rPr>
          <w:rFonts w:ascii="Calibri" w:hAnsi="Calibri"/>
          <w:color w:val="000000"/>
          <w:sz w:val="24"/>
          <w:szCs w:val="24"/>
        </w:rPr>
      </w:pPr>
      <w:bookmarkStart w:id="8" w:name="__DdeLink__13364_3923621051"/>
      <w:bookmarkEnd w:id="8"/>
    </w:p>
    <w:p w:rsidR="004E59F4" w:rsidRDefault="00273D75">
      <w:pPr>
        <w:spacing w:line="300" w:lineRule="auto"/>
        <w:jc w:val="both"/>
        <w:rPr>
          <w:color w:val="000000"/>
        </w:rPr>
      </w:pPr>
      <w:r>
        <w:rPr>
          <w:b/>
          <w:bCs/>
          <w:color w:val="000000"/>
          <w:sz w:val="24"/>
          <w:szCs w:val="24"/>
        </w:rPr>
        <w:t>Model nr 2 – zlecenie przez JST usług podmiotowi komercyjnemu (PK), przy założeniu, że usługę bezpośrednio na rzecz pasażera świadczy podmiot zewnętrzny</w:t>
      </w:r>
    </w:p>
    <w:p w:rsidR="004E59F4" w:rsidRDefault="00273D75">
      <w:pPr>
        <w:spacing w:line="300" w:lineRule="auto"/>
        <w:jc w:val="both"/>
      </w:pPr>
      <w:r>
        <w:rPr>
          <w:color w:val="000000"/>
          <w:sz w:val="24"/>
          <w:szCs w:val="24"/>
        </w:rPr>
        <w:t>Z opisu sprawy wynika, iż w tym modelu pomiędzy JST a pasażerem nie istnieje stosunek prawny, na mocy którego dochodziłoby do wymiany świadczeń wzajemnych. W tym modelu o takim stosunku prawnym będzie można mówić jedynie w relacji JST – PK.</w:t>
      </w:r>
    </w:p>
    <w:p w:rsidR="004E59F4" w:rsidRDefault="00273D75">
      <w:pPr>
        <w:spacing w:line="300" w:lineRule="auto"/>
        <w:jc w:val="both"/>
      </w:pPr>
      <w:r>
        <w:rPr>
          <w:color w:val="000000"/>
          <w:sz w:val="24"/>
          <w:szCs w:val="24"/>
        </w:rPr>
        <w:t>Tym samym, przyjąć należy, iż JST nie świadczy usługi na rzecz pasażera, co oznacza, że otrzymane przez JST środki z PFRON nie będą mogły być uznane za dotację, o której mowa w art. 29a ust. 1 ustawy o VAT (tj. mającą bezpośredni wpływ na cenę świadczonych przez JST usług), bowiem JST takich usług nie będzie świadczyć. W tej sytuacji JST nie byłyby zatem zobowiązane do wykazania ww. dotacji dla celów VAT.</w:t>
      </w:r>
    </w:p>
    <w:p w:rsidR="004E59F4" w:rsidRDefault="00273D75">
      <w:pPr>
        <w:spacing w:line="300" w:lineRule="auto"/>
        <w:jc w:val="both"/>
      </w:pPr>
      <w:r>
        <w:rPr>
          <w:color w:val="000000"/>
          <w:sz w:val="24"/>
          <w:szCs w:val="24"/>
        </w:rPr>
        <w:t>Dla porządku wskazać należy jednak na ryzyko zakwestionowania takiego podejścia przez DKIS/organy podatkowe, które mogą jednak doszukiwać się tu świadczenia przez JST usługi na rzecz pasażera na podstawie art. 8 ust. 2a ustawy o VAT. Organy podatkowe mogłyby zatem uznać, iż JST niejako nabywa usługę od PK, a następnie „odsprzedaje” ją na rzecz pasażera (jako, że zawiera co prawda umowę z PK we własnym imieniu, ale czyni to na rzecz osoby trzeciej, tzn. pasażera). Tym bardziej, że dochód ze świadczenia usług transportowych miałby być zwracany na rachunek danej JST, tj. jeśli pasażerowie (użytkownicy) mieliby uiszczać opłaty, to podmiot komercyjny odprowadzałby je na rachunek JST.</w:t>
      </w:r>
    </w:p>
    <w:p w:rsidR="004E59F4" w:rsidRDefault="00273D75">
      <w:pPr>
        <w:spacing w:line="300" w:lineRule="auto"/>
        <w:jc w:val="both"/>
      </w:pPr>
      <w:r>
        <w:rPr>
          <w:color w:val="000000"/>
          <w:sz w:val="24"/>
          <w:szCs w:val="24"/>
        </w:rPr>
        <w:t>Odrębną kwestią jest już natomiast powiązanie przedmiotowej dotacji z usługami świadczonymi przez PK.</w:t>
      </w:r>
    </w:p>
    <w:p w:rsidR="004E59F4" w:rsidRDefault="004E59F4">
      <w:pPr>
        <w:spacing w:line="300" w:lineRule="auto"/>
        <w:jc w:val="both"/>
        <w:rPr>
          <w:b/>
          <w:bCs/>
          <w:color w:val="CE181E"/>
          <w:sz w:val="24"/>
          <w:szCs w:val="24"/>
        </w:rPr>
      </w:pPr>
    </w:p>
    <w:p w:rsidR="004E59F4" w:rsidRDefault="00273D75">
      <w:pPr>
        <w:spacing w:line="300" w:lineRule="auto"/>
        <w:jc w:val="both"/>
      </w:pPr>
      <w:r>
        <w:rPr>
          <w:b/>
          <w:bCs/>
          <w:color w:val="000000"/>
          <w:sz w:val="24"/>
          <w:szCs w:val="24"/>
        </w:rPr>
        <w:t>Model nr 3 - powierzenie usług organizacji pożytku publicznego (OPP)</w:t>
      </w:r>
    </w:p>
    <w:p w:rsidR="004E59F4" w:rsidRDefault="00273D75">
      <w:pPr>
        <w:spacing w:line="300" w:lineRule="auto"/>
        <w:jc w:val="both"/>
      </w:pPr>
      <w:r>
        <w:rPr>
          <w:color w:val="000000"/>
          <w:sz w:val="24"/>
          <w:szCs w:val="24"/>
        </w:rPr>
        <w:t>Opierając się na opisie sprawy, uznać należy, iż podobnie jak w modelu nr 2, również i w tym modelu JST nie świadczy żadnej usługi na rzecz pasażera, a to oznacza, że otrzymane z PFRON środki finansowe nie mogą uznane za dotację, o której mowa w art. 29a ust. 1 ustawy o VAT, tj. nie będzie miała wpływu na cenę usług świadczonych przez JST, bowiem JST takich usług po prostu nie będzie świadczyć. W tej sytuacji JST nie będą zatem zobowiązane do wykazania ww. dotacji dla celów VAT.</w:t>
      </w:r>
    </w:p>
    <w:p w:rsidR="004E59F4" w:rsidRDefault="00273D75">
      <w:pPr>
        <w:spacing w:line="300" w:lineRule="auto"/>
        <w:jc w:val="both"/>
        <w:rPr>
          <w:rFonts w:ascii="Calibri" w:hAnsi="Calibri"/>
          <w:color w:val="000000"/>
          <w:sz w:val="24"/>
          <w:szCs w:val="24"/>
        </w:rPr>
      </w:pPr>
      <w:r>
        <w:rPr>
          <w:color w:val="000000"/>
          <w:sz w:val="24"/>
          <w:szCs w:val="24"/>
        </w:rPr>
        <w:t xml:space="preserve">Dla porządku wskazać należy jednak na ryzyko zakwestionowania takiego podejście przez DKIS/organy podatkowe, które mogą jednak doszukiwać się tu świadczenia przez JST usługi na rzecz pasażera na podstawie art. 8 ust. 2a ustawy o VAT. </w:t>
      </w:r>
    </w:p>
    <w:p w:rsidR="004E59F4" w:rsidRDefault="00273D75">
      <w:pPr>
        <w:spacing w:line="300" w:lineRule="auto"/>
        <w:jc w:val="both"/>
      </w:pPr>
      <w:r>
        <w:rPr>
          <w:color w:val="000000"/>
          <w:sz w:val="24"/>
          <w:szCs w:val="24"/>
        </w:rPr>
        <w:t>Organy podatkowe mogłyby zatem uznać, iż JST niejako nabywa usługę od OPP, a następnie „odsprzedaje” ją na rzecz pasażera (jako, że zawiera co prawda umowę z OPP we własnym imieniu, ale czyni to na rzecz osoby trzeciej, tzn. pasażera). Tym bardziej, że dochód ze świadczenia usług transportowych miałby być zwracany na rachunek danej JST, tj. jeśli pasażerowie (użytkownicy) mieliby uiszczać opłaty, to organizacja pożytku publicznego odprowadzałaby je na rachunek JST.</w:t>
      </w:r>
    </w:p>
    <w:p w:rsidR="004E59F4" w:rsidRDefault="00273D75">
      <w:pPr>
        <w:spacing w:line="300" w:lineRule="auto"/>
        <w:jc w:val="both"/>
      </w:pPr>
      <w:r>
        <w:rPr>
          <w:color w:val="000000"/>
          <w:sz w:val="24"/>
          <w:szCs w:val="24"/>
        </w:rPr>
        <w:t>Odrębną kwestią jest już natomiast powiązanie przedmiotowej dotacji z usługami świadczonymi przez OPP.</w:t>
      </w:r>
    </w:p>
    <w:p w:rsidR="004E59F4" w:rsidRDefault="00273D75">
      <w:pPr>
        <w:pStyle w:val="Nagwek2"/>
        <w:spacing w:line="300" w:lineRule="auto"/>
        <w:jc w:val="both"/>
        <w:rPr>
          <w:rFonts w:ascii="Calibri" w:hAnsi="Calibri"/>
          <w:i w:val="0"/>
          <w:color w:val="000000"/>
          <w:szCs w:val="24"/>
        </w:rPr>
      </w:pPr>
      <w:r>
        <w:br w:type="page"/>
      </w:r>
    </w:p>
    <w:p w:rsidR="004E59F4" w:rsidRDefault="00273D75">
      <w:pPr>
        <w:pStyle w:val="Nagwek2"/>
        <w:spacing w:before="0" w:after="113" w:line="300" w:lineRule="auto"/>
        <w:jc w:val="both"/>
      </w:pPr>
      <w:bookmarkStart w:id="9" w:name="__RefHeading___Toc4977_61956352"/>
      <w:bookmarkEnd w:id="9"/>
      <w:r>
        <w:rPr>
          <w:rFonts w:ascii="Calibri" w:hAnsi="Calibri"/>
          <w:i w:val="0"/>
          <w:color w:val="000000"/>
          <w:szCs w:val="24"/>
        </w:rPr>
        <w:lastRenderedPageBreak/>
        <w:t>2. VAT od zakupu przez JST pojazdu służącego do przewozu osób o szczególnych potrzebach</w:t>
      </w:r>
    </w:p>
    <w:p w:rsidR="004E59F4" w:rsidRDefault="00273D75">
      <w:pPr>
        <w:spacing w:line="300" w:lineRule="auto"/>
        <w:jc w:val="both"/>
      </w:pPr>
      <w:r>
        <w:rPr>
          <w:color w:val="000000"/>
          <w:sz w:val="24"/>
          <w:szCs w:val="24"/>
        </w:rPr>
        <w:t xml:space="preserve">Kwestia odliczenia VAT od pojazdu służącego do przewozu osób o szczególnych potrzebach zależy głównie od tego, czy świadczone przez JST usługi transportowe będą opodatkowane VAT, czy też nie (szerzej na ten temat w punkcie </w:t>
      </w:r>
      <w:r>
        <w:rPr>
          <w:i/>
          <w:iCs/>
          <w:color w:val="000000"/>
          <w:sz w:val="24"/>
          <w:szCs w:val="24"/>
        </w:rPr>
        <w:t>4. VAT od świadczenia usług transportowych door-to-door przez JST lub spółkę komunalną</w:t>
      </w:r>
      <w:r>
        <w:rPr>
          <w:color w:val="000000"/>
          <w:sz w:val="24"/>
          <w:szCs w:val="24"/>
        </w:rPr>
        <w:t>).</w:t>
      </w:r>
    </w:p>
    <w:p w:rsidR="004E59F4" w:rsidRDefault="00273D75">
      <w:pPr>
        <w:spacing w:line="300" w:lineRule="auto"/>
        <w:jc w:val="both"/>
      </w:pPr>
      <w:r>
        <w:rPr>
          <w:sz w:val="24"/>
          <w:szCs w:val="24"/>
        </w:rPr>
        <w:t>Generalna zasadę w zakresie prawa do odliczenia VAT zawiera art. 86 ust. 1 ustawy o VAT. Zgodnie z tym przepisem, w zakresie, w jakim towary i usługi są wykorzystywane do wykonywania czynności opodatkowanych, podatnikowi, o którym mowa w art. 15, przysługuje prawo do obniżenia kwoty podatku należnego o kwotę podatku naliczonego, z zastrzeżeniem art. 114, art. 119 ust. 4, art. 120 ust. 17 i 19 oraz art. 124.</w:t>
      </w:r>
    </w:p>
    <w:p w:rsidR="004E59F4" w:rsidRDefault="004E59F4">
      <w:pPr>
        <w:spacing w:line="300" w:lineRule="auto"/>
        <w:jc w:val="both"/>
        <w:rPr>
          <w:sz w:val="12"/>
          <w:szCs w:val="12"/>
        </w:rPr>
      </w:pPr>
    </w:p>
    <w:p w:rsidR="004E59F4" w:rsidRDefault="00273D75">
      <w:pPr>
        <w:spacing w:line="300" w:lineRule="auto"/>
        <w:jc w:val="both"/>
      </w:pPr>
      <w:r>
        <w:rPr>
          <w:sz w:val="24"/>
          <w:szCs w:val="24"/>
        </w:rPr>
        <w:t>Z kolei, w myśl art. 86 ust. 2 pkt 1 lit. a ustawy o VAT, kwotę podatku naliczonego stanowi suma kwot podatku wynikających z faktur otrzymanych przez podatnika z tytułu nabycia towarów i usług.</w:t>
      </w:r>
    </w:p>
    <w:p w:rsidR="004E59F4" w:rsidRDefault="004E59F4">
      <w:pPr>
        <w:spacing w:line="300" w:lineRule="auto"/>
        <w:jc w:val="both"/>
        <w:rPr>
          <w:sz w:val="12"/>
          <w:szCs w:val="12"/>
        </w:rPr>
      </w:pPr>
    </w:p>
    <w:p w:rsidR="004E59F4" w:rsidRDefault="00273D75">
      <w:pPr>
        <w:spacing w:line="300" w:lineRule="auto"/>
        <w:jc w:val="both"/>
        <w:rPr>
          <w:rFonts w:ascii="Calibri" w:hAnsi="Calibri"/>
          <w:sz w:val="24"/>
          <w:szCs w:val="24"/>
        </w:rPr>
      </w:pPr>
      <w:r>
        <w:rPr>
          <w:sz w:val="24"/>
          <w:szCs w:val="24"/>
        </w:rPr>
        <w:t>Ustawodawca zapewnił podatnikowi prawo do odliczenia podatku naliczonego w całości lub w części, pod warunkiem spełnienia przez niego zarówno przesłanek pozytywnych, wynikających z art. 86 ust. 1 ustawy oraz niezaistnienia przesłanek negatywnych, określonych w art. 88 ustawy. Ten ostatni przepis określa listę wyjątków, które pozbawiają podatnika prawa do obniżenia kwoty podatku należnego o kwotę podatku naliczonego.</w:t>
      </w:r>
    </w:p>
    <w:p w:rsidR="004E59F4" w:rsidRDefault="00273D75">
      <w:pPr>
        <w:spacing w:before="340" w:line="300" w:lineRule="auto"/>
        <w:jc w:val="both"/>
      </w:pPr>
      <w:r>
        <w:rPr>
          <w:sz w:val="24"/>
          <w:szCs w:val="24"/>
        </w:rPr>
        <w:t>Przepisy szczególne dotyczące odliczania VAT od wydatków dotyczących pojazdów samochodowych zawarto w art. 86a ustawy o VAT.</w:t>
      </w:r>
    </w:p>
    <w:p w:rsidR="004E59F4" w:rsidRDefault="00273D75">
      <w:pPr>
        <w:spacing w:line="300" w:lineRule="auto"/>
        <w:jc w:val="both"/>
      </w:pPr>
      <w:r>
        <w:rPr>
          <w:sz w:val="24"/>
          <w:szCs w:val="24"/>
        </w:rPr>
        <w:t>Zgodnie z art. 86a ust. 1 pkt 1 tej ustawy, w przypadku wydatków związanych z pojazdami samochodowymi kwotę podatku naliczonego, o której mowa w art. 86 ust. 2, stanowi 50% kwoty podatku wynikającej z faktury otrzymanej przez podatnika.</w:t>
      </w:r>
    </w:p>
    <w:p w:rsidR="004E59F4" w:rsidRDefault="00273D75">
      <w:pPr>
        <w:spacing w:line="300" w:lineRule="auto"/>
        <w:jc w:val="both"/>
      </w:pPr>
      <w:r>
        <w:rPr>
          <w:sz w:val="24"/>
          <w:szCs w:val="24"/>
        </w:rPr>
        <w:t>Stosownie do ust. 2 tego artykułu, do wydatków związanych z pojazdami samochodowymi, o których mowa w ust. 1, zalicza się wydatki dotyczące:</w:t>
      </w:r>
    </w:p>
    <w:p w:rsidR="004E59F4" w:rsidRDefault="00273D75">
      <w:pPr>
        <w:numPr>
          <w:ilvl w:val="0"/>
          <w:numId w:val="8"/>
        </w:numPr>
        <w:spacing w:line="300" w:lineRule="auto"/>
        <w:jc w:val="both"/>
        <w:rPr>
          <w:rFonts w:ascii="Calibri" w:hAnsi="Calibri"/>
          <w:sz w:val="24"/>
          <w:szCs w:val="24"/>
        </w:rPr>
      </w:pPr>
      <w:r>
        <w:rPr>
          <w:sz w:val="24"/>
          <w:szCs w:val="24"/>
        </w:rPr>
        <w:t>nabycia, importu lub wytworzenia tych pojazdów oraz nabycia lub importu ich części składowych;</w:t>
      </w:r>
    </w:p>
    <w:p w:rsidR="004E59F4" w:rsidRDefault="00273D75">
      <w:pPr>
        <w:numPr>
          <w:ilvl w:val="0"/>
          <w:numId w:val="8"/>
        </w:numPr>
        <w:spacing w:line="300" w:lineRule="auto"/>
        <w:jc w:val="both"/>
        <w:rPr>
          <w:rFonts w:ascii="Calibri" w:hAnsi="Calibri"/>
          <w:sz w:val="24"/>
          <w:szCs w:val="24"/>
        </w:rPr>
      </w:pPr>
      <w:r>
        <w:rPr>
          <w:sz w:val="24"/>
          <w:szCs w:val="24"/>
        </w:rPr>
        <w:t>używania tych pojazdów na podstawie umowy najmu, dzierżawy, leasingu lub innej umowy o podobnym charakterze, związane z tą umową, inne niż wymienione w pkt 3;</w:t>
      </w:r>
    </w:p>
    <w:p w:rsidR="004E59F4" w:rsidRDefault="00273D75">
      <w:pPr>
        <w:numPr>
          <w:ilvl w:val="0"/>
          <w:numId w:val="8"/>
        </w:numPr>
        <w:spacing w:line="300" w:lineRule="auto"/>
        <w:jc w:val="both"/>
        <w:rPr>
          <w:rFonts w:ascii="Calibri" w:hAnsi="Calibri"/>
          <w:sz w:val="24"/>
          <w:szCs w:val="24"/>
        </w:rPr>
      </w:pPr>
      <w:r>
        <w:rPr>
          <w:sz w:val="24"/>
          <w:szCs w:val="24"/>
        </w:rPr>
        <w:t>nabycia lub importu paliw silnikowych, oleju napędowego i gazu, wykorzystywanych do napędu tych pojazdów, usług naprawy lub konserwacji tych pojazdów oraz innych towarów i usług związanych z eksploatacją lub używaniem tych pojazdów.</w:t>
      </w:r>
    </w:p>
    <w:p w:rsidR="004E59F4" w:rsidRDefault="00273D75">
      <w:pPr>
        <w:spacing w:before="340" w:line="300" w:lineRule="auto"/>
        <w:jc w:val="both"/>
      </w:pPr>
      <w:r>
        <w:rPr>
          <w:sz w:val="24"/>
          <w:szCs w:val="24"/>
        </w:rPr>
        <w:lastRenderedPageBreak/>
        <w:t>Dla celów regulacji VAT, przez pojazdy samochodowe - na podstawie art. 2 pkt 34 ww. ustawy - rozumie się pojazdy samochodowe w rozumieniu przepisów o ruchu drogowym o dopuszczalnej masie całkowitej nieprzekraczającej 3,5 tony.</w:t>
      </w:r>
    </w:p>
    <w:p w:rsidR="004E59F4" w:rsidRDefault="004E59F4">
      <w:pPr>
        <w:spacing w:line="300" w:lineRule="auto"/>
        <w:jc w:val="both"/>
        <w:rPr>
          <w:rFonts w:ascii="Calibri" w:hAnsi="Calibri"/>
          <w:sz w:val="24"/>
          <w:szCs w:val="24"/>
        </w:rPr>
      </w:pPr>
    </w:p>
    <w:p w:rsidR="004E59F4" w:rsidRDefault="00273D75">
      <w:pPr>
        <w:spacing w:line="300" w:lineRule="auto"/>
        <w:jc w:val="both"/>
        <w:rPr>
          <w:rFonts w:ascii="Calibri" w:hAnsi="Calibri"/>
          <w:sz w:val="24"/>
          <w:szCs w:val="24"/>
        </w:rPr>
      </w:pPr>
      <w:r>
        <w:rPr>
          <w:sz w:val="24"/>
          <w:szCs w:val="24"/>
        </w:rPr>
        <w:t>Jak wynika jednak z art. 86a ust. 3 ustawy o VAT, przepis ust. 1 nie ma zastosowania:</w:t>
      </w:r>
    </w:p>
    <w:p w:rsidR="004E59F4" w:rsidRDefault="00273D75">
      <w:pPr>
        <w:numPr>
          <w:ilvl w:val="0"/>
          <w:numId w:val="9"/>
        </w:numPr>
        <w:spacing w:line="300" w:lineRule="auto"/>
        <w:jc w:val="both"/>
        <w:rPr>
          <w:rFonts w:ascii="Calibri" w:hAnsi="Calibri"/>
          <w:sz w:val="24"/>
          <w:szCs w:val="24"/>
        </w:rPr>
      </w:pPr>
      <w:r>
        <w:rPr>
          <w:sz w:val="24"/>
          <w:szCs w:val="24"/>
        </w:rPr>
        <w:t>w przypadku gdy pojazdy samochodowe są:</w:t>
      </w:r>
    </w:p>
    <w:p w:rsidR="004E59F4" w:rsidRDefault="00273D75">
      <w:pPr>
        <w:numPr>
          <w:ilvl w:val="1"/>
          <w:numId w:val="9"/>
        </w:numPr>
        <w:spacing w:line="300" w:lineRule="auto"/>
        <w:jc w:val="both"/>
        <w:rPr>
          <w:rFonts w:ascii="Calibri" w:hAnsi="Calibri"/>
          <w:sz w:val="24"/>
          <w:szCs w:val="24"/>
        </w:rPr>
      </w:pPr>
      <w:r>
        <w:rPr>
          <w:sz w:val="24"/>
          <w:szCs w:val="24"/>
        </w:rPr>
        <w:t>wykorzystywane wyłącznie do działalności gospodarczej podatnika lub</w:t>
      </w:r>
    </w:p>
    <w:p w:rsidR="004E59F4" w:rsidRDefault="00273D75">
      <w:pPr>
        <w:numPr>
          <w:ilvl w:val="1"/>
          <w:numId w:val="9"/>
        </w:numPr>
        <w:spacing w:line="300" w:lineRule="auto"/>
        <w:jc w:val="both"/>
        <w:rPr>
          <w:rFonts w:ascii="Calibri" w:hAnsi="Calibri"/>
          <w:sz w:val="24"/>
          <w:szCs w:val="24"/>
        </w:rPr>
      </w:pPr>
      <w:r>
        <w:rPr>
          <w:sz w:val="24"/>
          <w:szCs w:val="24"/>
        </w:rPr>
        <w:t>konstrukcyjnie przeznaczone do przewozu co najmniej 10 osób łącznie z kierowcą, jeżeli z dokumentów wydanych na podstawie przepisów o ruchu drogowym wynika takie przeznaczenie;</w:t>
      </w:r>
    </w:p>
    <w:p w:rsidR="004E59F4" w:rsidRDefault="00273D75">
      <w:pPr>
        <w:numPr>
          <w:ilvl w:val="0"/>
          <w:numId w:val="9"/>
        </w:numPr>
        <w:spacing w:line="300" w:lineRule="auto"/>
        <w:jc w:val="both"/>
        <w:rPr>
          <w:rFonts w:ascii="Calibri" w:hAnsi="Calibri"/>
          <w:sz w:val="24"/>
          <w:szCs w:val="24"/>
        </w:rPr>
      </w:pPr>
      <w:r>
        <w:rPr>
          <w:sz w:val="24"/>
          <w:szCs w:val="24"/>
        </w:rPr>
        <w:t>do towarów montowanych w pojazdach samochodowych i do związanych z tymi towarami usług montażu, naprawy i konserwacji, jeżeli przeznaczenie tych towarów wskazuje obiektywnie na możliwość ich wykorzystywania wyłącznie do działalności gospodarczej podatnika.</w:t>
      </w:r>
    </w:p>
    <w:p w:rsidR="004E59F4" w:rsidRDefault="004E59F4">
      <w:pPr>
        <w:spacing w:line="300" w:lineRule="auto"/>
        <w:jc w:val="both"/>
        <w:rPr>
          <w:rFonts w:ascii="Calibri" w:hAnsi="Calibri"/>
          <w:sz w:val="24"/>
          <w:szCs w:val="24"/>
        </w:rPr>
      </w:pPr>
    </w:p>
    <w:p w:rsidR="004E59F4" w:rsidRDefault="00273D75">
      <w:pPr>
        <w:spacing w:line="300" w:lineRule="auto"/>
        <w:jc w:val="both"/>
        <w:rPr>
          <w:rFonts w:ascii="Calibri" w:hAnsi="Calibri"/>
          <w:sz w:val="24"/>
          <w:szCs w:val="24"/>
        </w:rPr>
      </w:pPr>
      <w:r>
        <w:rPr>
          <w:sz w:val="24"/>
          <w:szCs w:val="24"/>
        </w:rPr>
        <w:t>Według art. 86a ust. 4 ustawy o VAT, pojazdy samochodowe są uznawane za wykorzystywane wyłącznie do działalności gospodarczej podatnika, jeżeli:</w:t>
      </w:r>
    </w:p>
    <w:p w:rsidR="004E59F4" w:rsidRDefault="00273D75">
      <w:pPr>
        <w:numPr>
          <w:ilvl w:val="0"/>
          <w:numId w:val="10"/>
        </w:numPr>
        <w:spacing w:line="300" w:lineRule="auto"/>
        <w:jc w:val="both"/>
        <w:rPr>
          <w:rFonts w:ascii="Calibri" w:hAnsi="Calibri"/>
          <w:sz w:val="24"/>
          <w:szCs w:val="24"/>
        </w:rPr>
      </w:pPr>
      <w:r>
        <w:rPr>
          <w:sz w:val="24"/>
          <w:szCs w:val="24"/>
        </w:rPr>
        <w:t>sposób wykorzystywania tych pojazdów przez podatnika, zwłaszcza określony w ustalonych przez niego zasadach ich używania, dodatkowo potwierdzony prowadzoną przez podatnika dla tych pojazdów ewidencją przebiegu pojazdu, wyklucza ich użycie do celów niezwiązanych z działalnością gospodarczą lub</w:t>
      </w:r>
    </w:p>
    <w:p w:rsidR="004E59F4" w:rsidRDefault="00273D75">
      <w:pPr>
        <w:numPr>
          <w:ilvl w:val="0"/>
          <w:numId w:val="10"/>
        </w:numPr>
        <w:spacing w:line="300" w:lineRule="auto"/>
        <w:jc w:val="both"/>
        <w:rPr>
          <w:rFonts w:ascii="Calibri" w:hAnsi="Calibri"/>
          <w:sz w:val="24"/>
          <w:szCs w:val="24"/>
        </w:rPr>
      </w:pPr>
      <w:r>
        <w:rPr>
          <w:sz w:val="24"/>
          <w:szCs w:val="24"/>
        </w:rPr>
        <w:t>konstrukcja tych pojazdów wyklucza ich użycie do celów niezwiązanych z działalnością gospodarczą lub powoduje, że ich użycie do celów niezwiązanych z działalnością gospodarczą jest nieistotne.</w:t>
      </w:r>
    </w:p>
    <w:p w:rsidR="004E59F4" w:rsidRDefault="004E59F4">
      <w:pPr>
        <w:spacing w:line="300" w:lineRule="auto"/>
        <w:jc w:val="both"/>
        <w:rPr>
          <w:rFonts w:ascii="Calibri" w:hAnsi="Calibri"/>
          <w:sz w:val="24"/>
          <w:szCs w:val="24"/>
        </w:rPr>
      </w:pPr>
    </w:p>
    <w:p w:rsidR="004E59F4" w:rsidRDefault="00273D75">
      <w:pPr>
        <w:spacing w:line="300" w:lineRule="auto"/>
        <w:jc w:val="both"/>
        <w:rPr>
          <w:rFonts w:ascii="Calibri" w:hAnsi="Calibri"/>
          <w:sz w:val="24"/>
          <w:szCs w:val="24"/>
        </w:rPr>
      </w:pPr>
      <w:r>
        <w:rPr>
          <w:sz w:val="24"/>
          <w:szCs w:val="24"/>
        </w:rPr>
        <w:t>Na mocy art. 86a ust. 5 ww. ustawy, warunku prowadzenia ewidencji przebiegu pojazdu nie stosuje się w przypadku pojazdów samochodowych:</w:t>
      </w:r>
    </w:p>
    <w:p w:rsidR="004E59F4" w:rsidRDefault="00273D75">
      <w:pPr>
        <w:numPr>
          <w:ilvl w:val="0"/>
          <w:numId w:val="11"/>
        </w:numPr>
        <w:spacing w:line="300" w:lineRule="auto"/>
        <w:jc w:val="both"/>
        <w:rPr>
          <w:rFonts w:ascii="Calibri" w:hAnsi="Calibri"/>
          <w:sz w:val="24"/>
          <w:szCs w:val="24"/>
        </w:rPr>
      </w:pPr>
      <w:r>
        <w:rPr>
          <w:sz w:val="24"/>
          <w:szCs w:val="24"/>
        </w:rPr>
        <w:t>przeznaczonych wyłącznie do:</w:t>
      </w:r>
    </w:p>
    <w:p w:rsidR="004E59F4" w:rsidRDefault="00273D75">
      <w:pPr>
        <w:numPr>
          <w:ilvl w:val="1"/>
          <w:numId w:val="11"/>
        </w:numPr>
        <w:spacing w:line="300" w:lineRule="auto"/>
        <w:jc w:val="both"/>
        <w:rPr>
          <w:rFonts w:ascii="Calibri" w:hAnsi="Calibri"/>
          <w:sz w:val="24"/>
          <w:szCs w:val="24"/>
        </w:rPr>
      </w:pPr>
      <w:r>
        <w:rPr>
          <w:sz w:val="24"/>
          <w:szCs w:val="24"/>
        </w:rPr>
        <w:t>odprzedaży,</w:t>
      </w:r>
    </w:p>
    <w:p w:rsidR="004E59F4" w:rsidRDefault="00273D75">
      <w:pPr>
        <w:numPr>
          <w:ilvl w:val="1"/>
          <w:numId w:val="11"/>
        </w:numPr>
        <w:spacing w:line="300" w:lineRule="auto"/>
        <w:jc w:val="both"/>
        <w:rPr>
          <w:rFonts w:ascii="Calibri" w:hAnsi="Calibri"/>
          <w:sz w:val="24"/>
          <w:szCs w:val="24"/>
        </w:rPr>
      </w:pPr>
      <w:r>
        <w:rPr>
          <w:sz w:val="24"/>
          <w:szCs w:val="24"/>
        </w:rPr>
        <w:t>sprzedaży, w przypadku pojazdów wytworzonych przez podatnika,</w:t>
      </w:r>
    </w:p>
    <w:p w:rsidR="004E59F4" w:rsidRDefault="00273D75">
      <w:pPr>
        <w:numPr>
          <w:ilvl w:val="1"/>
          <w:numId w:val="11"/>
        </w:numPr>
        <w:spacing w:line="300" w:lineRule="auto"/>
        <w:jc w:val="both"/>
        <w:rPr>
          <w:rFonts w:ascii="Calibri" w:hAnsi="Calibri"/>
          <w:sz w:val="24"/>
          <w:szCs w:val="24"/>
        </w:rPr>
      </w:pPr>
      <w:r>
        <w:rPr>
          <w:sz w:val="24"/>
          <w:szCs w:val="24"/>
        </w:rPr>
        <w:t>oddania w odpłatne używanie na podstawie umowy najmu, dzierżawy, leasingu lub innej umowy o podobnym charakterze</w:t>
      </w:r>
    </w:p>
    <w:p w:rsidR="004E59F4" w:rsidRDefault="00273D75">
      <w:pPr>
        <w:spacing w:line="300" w:lineRule="auto"/>
        <w:ind w:left="720"/>
        <w:jc w:val="both"/>
        <w:rPr>
          <w:rFonts w:ascii="Calibri" w:hAnsi="Calibri"/>
          <w:sz w:val="24"/>
          <w:szCs w:val="24"/>
        </w:rPr>
      </w:pPr>
      <w:r>
        <w:rPr>
          <w:sz w:val="24"/>
          <w:szCs w:val="24"/>
        </w:rPr>
        <w:t>- jeżeli odprzedaż, sprzedaż lub oddanie w odpłatne używanie tych pojazdów stanowi przedmiot działalności podatnika;</w:t>
      </w:r>
    </w:p>
    <w:p w:rsidR="004E59F4" w:rsidRDefault="00273D75">
      <w:pPr>
        <w:numPr>
          <w:ilvl w:val="0"/>
          <w:numId w:val="11"/>
        </w:numPr>
        <w:spacing w:line="300" w:lineRule="auto"/>
        <w:jc w:val="both"/>
        <w:rPr>
          <w:rFonts w:ascii="Calibri" w:hAnsi="Calibri"/>
          <w:sz w:val="24"/>
          <w:szCs w:val="24"/>
        </w:rPr>
      </w:pPr>
      <w:r>
        <w:rPr>
          <w:sz w:val="24"/>
          <w:szCs w:val="24"/>
        </w:rPr>
        <w:t>w odniesieniu do których:</w:t>
      </w:r>
    </w:p>
    <w:p w:rsidR="004E59F4" w:rsidRDefault="00273D75">
      <w:pPr>
        <w:numPr>
          <w:ilvl w:val="1"/>
          <w:numId w:val="11"/>
        </w:numPr>
        <w:spacing w:line="300" w:lineRule="auto"/>
        <w:jc w:val="both"/>
        <w:rPr>
          <w:rFonts w:ascii="Calibri" w:hAnsi="Calibri"/>
          <w:sz w:val="24"/>
          <w:szCs w:val="24"/>
        </w:rPr>
      </w:pPr>
      <w:r>
        <w:rPr>
          <w:sz w:val="24"/>
          <w:szCs w:val="24"/>
        </w:rPr>
        <w:lastRenderedPageBreak/>
        <w:t>kwotę podatku naliczonego od wydatków z nimi związanych podatnik oblicza zgodnie z ust. 1 lub</w:t>
      </w:r>
    </w:p>
    <w:p w:rsidR="004E59F4" w:rsidRDefault="00273D75">
      <w:pPr>
        <w:numPr>
          <w:ilvl w:val="1"/>
          <w:numId w:val="11"/>
        </w:numPr>
        <w:spacing w:line="300" w:lineRule="auto"/>
        <w:jc w:val="both"/>
        <w:rPr>
          <w:rFonts w:ascii="Calibri" w:hAnsi="Calibri"/>
          <w:sz w:val="24"/>
          <w:szCs w:val="24"/>
        </w:rPr>
      </w:pPr>
      <w:r>
        <w:rPr>
          <w:sz w:val="24"/>
          <w:szCs w:val="24"/>
        </w:rPr>
        <w:t>podatnikowi nie przysługuje prawo do obniżenia kwoty podatku należnego o kwotę podatku naliczonego od wydatków z nimi związanych.</w:t>
      </w:r>
    </w:p>
    <w:p w:rsidR="004E59F4" w:rsidRDefault="00273D75">
      <w:pPr>
        <w:spacing w:before="340" w:line="300" w:lineRule="auto"/>
        <w:jc w:val="both"/>
        <w:rPr>
          <w:rFonts w:ascii="Calibri" w:hAnsi="Calibri"/>
          <w:sz w:val="24"/>
          <w:szCs w:val="24"/>
        </w:rPr>
      </w:pPr>
      <w:r>
        <w:rPr>
          <w:sz w:val="24"/>
          <w:szCs w:val="24"/>
        </w:rPr>
        <w:t>Z kolei art. 86a ust. 6 ustawy o VAT stanowi, iż ewidencja przebiegu pojazdu jest prowadzona od dnia rozpoczęcia wykorzystywania pojazdu samochodowego wyłącznie do działalności gospodarczej podatnika do dnia zakończenia wykorzystywania tego pojazdu wyłącznie do tej działalności.</w:t>
      </w:r>
    </w:p>
    <w:p w:rsidR="004E59F4" w:rsidRDefault="004E59F4">
      <w:pPr>
        <w:spacing w:line="300" w:lineRule="auto"/>
        <w:jc w:val="both"/>
        <w:rPr>
          <w:rFonts w:ascii="Calibri" w:hAnsi="Calibri"/>
          <w:sz w:val="12"/>
          <w:szCs w:val="12"/>
        </w:rPr>
      </w:pPr>
    </w:p>
    <w:p w:rsidR="004E59F4" w:rsidRDefault="00273D75">
      <w:pPr>
        <w:spacing w:line="300" w:lineRule="auto"/>
        <w:jc w:val="both"/>
      </w:pPr>
      <w:r>
        <w:rPr>
          <w:sz w:val="24"/>
          <w:szCs w:val="24"/>
        </w:rPr>
        <w:t xml:space="preserve">W art. 86a ust. 7 ustawy o VAT wskazano na elementy, które powinna zawierać ewidencja przebiegu pojazdu, a są to: </w:t>
      </w:r>
    </w:p>
    <w:p w:rsidR="004E59F4" w:rsidRDefault="00273D75">
      <w:pPr>
        <w:spacing w:line="300" w:lineRule="auto"/>
        <w:jc w:val="both"/>
      </w:pPr>
      <w:r>
        <w:rPr>
          <w:sz w:val="24"/>
          <w:szCs w:val="24"/>
        </w:rPr>
        <w:t>1) numer rejestracyjny pojazdu samochodowego;</w:t>
      </w:r>
    </w:p>
    <w:p w:rsidR="004E59F4" w:rsidRDefault="00273D75">
      <w:pPr>
        <w:spacing w:line="300" w:lineRule="auto"/>
        <w:jc w:val="both"/>
      </w:pPr>
      <w:r>
        <w:rPr>
          <w:sz w:val="24"/>
          <w:szCs w:val="24"/>
        </w:rPr>
        <w:t>2) dzień rozpoczęcia i zakończenia prowadzenia ewidencji;</w:t>
      </w:r>
    </w:p>
    <w:p w:rsidR="004E59F4" w:rsidRDefault="00273D75">
      <w:pPr>
        <w:spacing w:line="300" w:lineRule="auto"/>
        <w:jc w:val="both"/>
      </w:pPr>
      <w:r>
        <w:rPr>
          <w:sz w:val="24"/>
          <w:szCs w:val="24"/>
        </w:rPr>
        <w:t>3) stan licznika przebiegu pojazdu samochodowego na dzień rozpoczęcia prowadzenia ewidencji, na koniec każdego okresu rozliczeniowego oraz na dzień zakończenia prowadzenia ewidencji;</w:t>
      </w:r>
    </w:p>
    <w:p w:rsidR="004E59F4" w:rsidRDefault="00273D75">
      <w:pPr>
        <w:spacing w:line="300" w:lineRule="auto"/>
        <w:jc w:val="both"/>
      </w:pPr>
      <w:r>
        <w:rPr>
          <w:sz w:val="24"/>
          <w:szCs w:val="24"/>
        </w:rPr>
        <w:t>4) wpis osoby kierującej pojazdem samochodowym dotyczący każdego wykorzystania tego pojazdu, obejmujący:</w:t>
      </w:r>
    </w:p>
    <w:p w:rsidR="004E59F4" w:rsidRDefault="00273D75">
      <w:pPr>
        <w:spacing w:line="300" w:lineRule="auto"/>
        <w:jc w:val="both"/>
      </w:pPr>
      <w:r>
        <w:rPr>
          <w:sz w:val="24"/>
          <w:szCs w:val="24"/>
        </w:rPr>
        <w:t>a) kolejny numer wpisu,</w:t>
      </w:r>
    </w:p>
    <w:p w:rsidR="004E59F4" w:rsidRDefault="00273D75">
      <w:pPr>
        <w:spacing w:line="300" w:lineRule="auto"/>
        <w:jc w:val="both"/>
      </w:pPr>
      <w:r>
        <w:rPr>
          <w:sz w:val="24"/>
          <w:szCs w:val="24"/>
        </w:rPr>
        <w:t>b) datę i cel wyjazdu,</w:t>
      </w:r>
    </w:p>
    <w:p w:rsidR="004E59F4" w:rsidRDefault="00273D75">
      <w:pPr>
        <w:spacing w:line="300" w:lineRule="auto"/>
        <w:jc w:val="both"/>
      </w:pPr>
      <w:r>
        <w:rPr>
          <w:sz w:val="24"/>
          <w:szCs w:val="24"/>
        </w:rPr>
        <w:t>c) opis trasy (skąd - dokąd),</w:t>
      </w:r>
    </w:p>
    <w:p w:rsidR="004E59F4" w:rsidRDefault="00273D75">
      <w:pPr>
        <w:spacing w:line="300" w:lineRule="auto"/>
        <w:jc w:val="both"/>
      </w:pPr>
      <w:r>
        <w:rPr>
          <w:sz w:val="24"/>
          <w:szCs w:val="24"/>
        </w:rPr>
        <w:t>d) liczbę przejechanych kilometrów,</w:t>
      </w:r>
    </w:p>
    <w:p w:rsidR="004E59F4" w:rsidRDefault="00273D75">
      <w:pPr>
        <w:spacing w:line="300" w:lineRule="auto"/>
        <w:jc w:val="both"/>
      </w:pPr>
      <w:r>
        <w:rPr>
          <w:sz w:val="24"/>
          <w:szCs w:val="24"/>
        </w:rPr>
        <w:t>e) imię i nazwisko osoby kierującej pojazdem</w:t>
      </w:r>
    </w:p>
    <w:p w:rsidR="004E59F4" w:rsidRDefault="00273D75">
      <w:pPr>
        <w:spacing w:line="300" w:lineRule="auto"/>
        <w:jc w:val="both"/>
        <w:rPr>
          <w:rFonts w:ascii="Calibri" w:hAnsi="Calibri"/>
          <w:sz w:val="24"/>
          <w:szCs w:val="24"/>
        </w:rPr>
      </w:pPr>
      <w:r>
        <w:rPr>
          <w:sz w:val="24"/>
          <w:szCs w:val="24"/>
        </w:rPr>
        <w:t>- potwierdzony przez podatnika na koniec każdego okresu rozliczeniowego w zakresie autentyczności wpisu osoby kierującej pojazdem, jeżeli nie jest ona podatnikiem;</w:t>
      </w:r>
    </w:p>
    <w:p w:rsidR="004E59F4" w:rsidRDefault="00273D75">
      <w:pPr>
        <w:spacing w:line="300" w:lineRule="auto"/>
        <w:jc w:val="both"/>
      </w:pPr>
      <w:r>
        <w:rPr>
          <w:sz w:val="24"/>
          <w:szCs w:val="24"/>
        </w:rPr>
        <w:t>5) liczbę przejechanych kilometrów na koniec każdego okresu rozliczeniowego oraz na dzień zakończenia prowadzenia ewidencji.</w:t>
      </w:r>
    </w:p>
    <w:p w:rsidR="004E59F4" w:rsidRDefault="00273D75">
      <w:pPr>
        <w:spacing w:before="340" w:line="300" w:lineRule="auto"/>
        <w:jc w:val="both"/>
        <w:rPr>
          <w:color w:val="000000"/>
        </w:rPr>
      </w:pPr>
      <w:r>
        <w:rPr>
          <w:sz w:val="24"/>
          <w:szCs w:val="24"/>
        </w:rPr>
        <w:t>Na podstawie art. 86 ust. 12 ustawy o VAT podatnicy wykorzystujący wyłącznie do działalności gospodarczej pojazdy samochodowe, dla których są obowiązani prowadzić ewidencję przebiegu pojazdu, mają obowiązek złożyć naczelnikowi urzędu skarbowego informację o tych pojazdach w terminie 7 dni od dnia, w którym poniosą pierwszy wydatek związany z tymi pojazdami.</w:t>
      </w:r>
    </w:p>
    <w:p w:rsidR="004E59F4" w:rsidRDefault="00273D75">
      <w:pPr>
        <w:spacing w:before="340" w:line="300" w:lineRule="auto"/>
        <w:jc w:val="both"/>
      </w:pPr>
      <w:r>
        <w:rPr>
          <w:color w:val="000000"/>
          <w:sz w:val="24"/>
          <w:szCs w:val="24"/>
        </w:rPr>
        <w:lastRenderedPageBreak/>
        <w:t xml:space="preserve">W związku z powyższym, </w:t>
      </w:r>
      <w:r>
        <w:rPr>
          <w:b/>
          <w:bCs/>
          <w:color w:val="000000"/>
          <w:sz w:val="24"/>
          <w:szCs w:val="24"/>
        </w:rPr>
        <w:t>jeżeli świadczone przez JST usługi transportowe nie będą opodatkowane VAT, to wówczas JST nie będzie przysługiwało prawo do odliczenia VAT z tytułu wydatków związanych z pojazdem</w:t>
      </w:r>
      <w:r>
        <w:rPr>
          <w:color w:val="000000"/>
          <w:sz w:val="24"/>
          <w:szCs w:val="24"/>
        </w:rPr>
        <w:t>, który służy (służyć ma) wyłącznie do świadczenia tych usług.</w:t>
      </w:r>
    </w:p>
    <w:p w:rsidR="004E59F4" w:rsidRDefault="00273D75">
      <w:pPr>
        <w:spacing w:line="300" w:lineRule="auto"/>
        <w:jc w:val="both"/>
      </w:pPr>
      <w:r>
        <w:rPr>
          <w:sz w:val="24"/>
          <w:szCs w:val="24"/>
        </w:rPr>
        <w:t>Natomiast w sytuacji,</w:t>
      </w:r>
      <w:r>
        <w:rPr>
          <w:b/>
          <w:bCs/>
          <w:sz w:val="24"/>
          <w:szCs w:val="24"/>
        </w:rPr>
        <w:t xml:space="preserve"> gdy usługi transportowe świadczone przez JST będą opodatkowane VAT i wydatki dotyczyć będą</w:t>
      </w:r>
      <w:r>
        <w:rPr>
          <w:b/>
          <w:bCs/>
          <w:color w:val="000000"/>
          <w:sz w:val="24"/>
          <w:szCs w:val="24"/>
        </w:rPr>
        <w:t xml:space="preserve"> pojazdu nie będącego pojazdem samochodowym w rozumieniu ustawy o VAT</w:t>
      </w:r>
      <w:r>
        <w:rPr>
          <w:color w:val="000000"/>
          <w:sz w:val="24"/>
          <w:szCs w:val="24"/>
        </w:rPr>
        <w:t xml:space="preserve">  </w:t>
      </w:r>
      <w:r>
        <w:rPr>
          <w:i/>
          <w:iCs/>
          <w:color w:val="000000"/>
          <w:sz w:val="24"/>
          <w:szCs w:val="24"/>
        </w:rPr>
        <w:t>(tj. nie będzie to pojazd samochodowy w rozumieniu</w:t>
      </w:r>
      <w:r>
        <w:rPr>
          <w:i/>
          <w:iCs/>
          <w:sz w:val="24"/>
          <w:szCs w:val="24"/>
        </w:rPr>
        <w:t xml:space="preserve"> przepisów o ruchu drogowym o dopuszczalnej masie całkowitej nieprzekraczającej 3,5 tony), </w:t>
      </w:r>
      <w:r>
        <w:rPr>
          <w:sz w:val="24"/>
          <w:szCs w:val="24"/>
        </w:rPr>
        <w:t xml:space="preserve">a pojazd ten będzie wykorzystywany wyłącznie do działalności gospodarczej JST (tj. do działalności </w:t>
      </w:r>
      <w:r>
        <w:rPr>
          <w:color w:val="000000"/>
          <w:sz w:val="24"/>
          <w:szCs w:val="24"/>
        </w:rPr>
        <w:t>transportowej), to wówczas JST będzie przysługiwało prawo do odliczenia VAT z tytułu wydatków związanych z pojazdem wykorzystywanym do świadczenia usług transportowych w wysokości 100%.</w:t>
      </w:r>
    </w:p>
    <w:p w:rsidR="004E59F4" w:rsidRDefault="00273D75">
      <w:pPr>
        <w:spacing w:before="170" w:line="300" w:lineRule="auto"/>
        <w:jc w:val="both"/>
      </w:pPr>
      <w:r>
        <w:rPr>
          <w:color w:val="000000"/>
          <w:sz w:val="24"/>
          <w:szCs w:val="24"/>
        </w:rPr>
        <w:t>Jeśli natomiast pojazd taki nie będzie wykorzystywany wyłącznie do działalności gospodarczej JST, to JST będzie miała prawo do odliczenia VAT z zastosowaniem PW i WSP (jeśli pojazd służyłby także do czynności zwolnionych z VAT).</w:t>
      </w:r>
    </w:p>
    <w:p w:rsidR="004E59F4" w:rsidRDefault="00273D75">
      <w:pPr>
        <w:spacing w:before="340" w:line="300" w:lineRule="auto"/>
        <w:jc w:val="both"/>
      </w:pPr>
      <w:r>
        <w:rPr>
          <w:color w:val="000000"/>
          <w:sz w:val="24"/>
          <w:szCs w:val="24"/>
        </w:rPr>
        <w:t xml:space="preserve">Z kolei, </w:t>
      </w:r>
      <w:r>
        <w:rPr>
          <w:b/>
          <w:bCs/>
          <w:color w:val="000000"/>
          <w:sz w:val="24"/>
          <w:szCs w:val="24"/>
        </w:rPr>
        <w:t>w przypadku, gdy usługi transportowe świadczone przez JST będą opodatkowane VAT i wydatki dotyczyć będą pojazdów samochodowych w rozumieniu ustawy o VAT, wykorzystywanych wyłącznie do działalności gospodarczej JST (tj. do działalności transportowej), to JST będzie przysługiwało prawo do odliczenia VAT:</w:t>
      </w:r>
    </w:p>
    <w:p w:rsidR="004E59F4" w:rsidRDefault="00273D75">
      <w:pPr>
        <w:spacing w:before="170" w:line="300" w:lineRule="auto"/>
        <w:jc w:val="both"/>
      </w:pPr>
      <w:r>
        <w:rPr>
          <w:color w:val="000000"/>
          <w:sz w:val="24"/>
          <w:szCs w:val="24"/>
        </w:rPr>
        <w:t>(1.1) 100 % - jeśli dotyczy to samochodu konstrukcyjnie przeznaczonego do przewozu co najmniej 10 osób łącznie z kierowcą, jeżeli z dokumentów wydanych na podstawie przepisów o ruchu drogowym wynika takie przeznaczenie;</w:t>
      </w:r>
    </w:p>
    <w:p w:rsidR="004E59F4" w:rsidRDefault="00273D75">
      <w:pPr>
        <w:spacing w:before="170" w:line="300" w:lineRule="auto"/>
        <w:jc w:val="both"/>
      </w:pPr>
      <w:r>
        <w:rPr>
          <w:color w:val="000000"/>
          <w:sz w:val="24"/>
          <w:szCs w:val="24"/>
        </w:rPr>
        <w:t>(1.2.) 100% - jeśli dotyczy to pojazdu innego niż określony w pkt. 1.1., ale spełnione zostaną nw. warunki:</w:t>
      </w:r>
    </w:p>
    <w:p w:rsidR="004E59F4" w:rsidRDefault="00273D75">
      <w:pPr>
        <w:numPr>
          <w:ilvl w:val="0"/>
          <w:numId w:val="12"/>
        </w:numPr>
        <w:spacing w:line="300" w:lineRule="auto"/>
        <w:jc w:val="both"/>
        <w:rPr>
          <w:rFonts w:ascii="Calibri" w:hAnsi="Calibri"/>
          <w:color w:val="000000"/>
          <w:sz w:val="24"/>
          <w:szCs w:val="24"/>
        </w:rPr>
      </w:pPr>
      <w:r>
        <w:rPr>
          <w:color w:val="000000"/>
          <w:sz w:val="24"/>
          <w:szCs w:val="24"/>
        </w:rPr>
        <w:t xml:space="preserve">sposób wykorzystywania pojazdu przez JST, zwłaszcza określony w ustalonych przez niego zasadach ich używania, dodatkowo potwierdzony prowadzoną przez JST dla tego pojazdów ewidencją przebiegu pojazdu, wyklucza ich użycie do celów niezwiązanych z działalnością gospodarczą (JST musi zatem m.in. prowadzić ewidencję przebiegu pojazdu, o której mowa w art. 86a ust. 4 pkt 1 ustawy o VAT) oraz </w:t>
      </w:r>
    </w:p>
    <w:p w:rsidR="004E59F4" w:rsidRDefault="00273D75">
      <w:pPr>
        <w:numPr>
          <w:ilvl w:val="0"/>
          <w:numId w:val="12"/>
        </w:numPr>
        <w:spacing w:line="300" w:lineRule="auto"/>
        <w:jc w:val="both"/>
      </w:pPr>
      <w:r>
        <w:rPr>
          <w:color w:val="000000"/>
          <w:sz w:val="24"/>
          <w:szCs w:val="24"/>
        </w:rPr>
        <w:t>JST złoży naczelnikowi urzędu skarbowego informację o tych pojazdach w terminie 7 dni od dnia, w którym zostaną poniesione pierwsze wydatki związane z tymi pojazdami.</w:t>
      </w:r>
    </w:p>
    <w:p w:rsidR="004E59F4" w:rsidRDefault="00273D75">
      <w:pPr>
        <w:spacing w:before="170" w:line="300" w:lineRule="auto"/>
        <w:jc w:val="both"/>
      </w:pPr>
      <w:r>
        <w:rPr>
          <w:color w:val="000000"/>
          <w:sz w:val="24"/>
          <w:szCs w:val="24"/>
        </w:rPr>
        <w:lastRenderedPageBreak/>
        <w:t>(1.3.) 50% (art. 86a ust. 1 ustawy o VAT) - w przypadku, gdy dotyczy to pojazdu innego niż określony w pkt. 1.1. i nie zostanie spełniony któryś z warunków wskazanych w pkt. 1.2.</w:t>
      </w:r>
    </w:p>
    <w:p w:rsidR="004E59F4" w:rsidRDefault="00273D75">
      <w:pPr>
        <w:spacing w:before="170" w:line="300" w:lineRule="auto"/>
        <w:jc w:val="both"/>
      </w:pPr>
      <w:r>
        <w:rPr>
          <w:color w:val="000000"/>
          <w:sz w:val="24"/>
          <w:szCs w:val="24"/>
        </w:rPr>
        <w:t xml:space="preserve">Natomiast, w przypadku, gdyby pojazd samochodowy w rozumieniu ustawy o VAT nie był wykorzystywany wyłącznie do działalności gospodarczej JST (tj. do działalności transportowej), to kwotę przysługującego odliczenia VAT ustalać należy z zastosowaniem: </w:t>
      </w:r>
    </w:p>
    <w:p w:rsidR="004E59F4" w:rsidRDefault="00273D75">
      <w:pPr>
        <w:spacing w:before="170" w:line="300" w:lineRule="auto"/>
        <w:jc w:val="both"/>
      </w:pPr>
      <w:r>
        <w:rPr>
          <w:color w:val="000000"/>
          <w:sz w:val="24"/>
          <w:szCs w:val="24"/>
        </w:rPr>
        <w:t>- PW i WSP (jeśli pojazd służyłby także do czynności zwolnionych z VAT) - w przypadku pojazdu, o którym mowa w punkcie 1.1.;</w:t>
      </w:r>
    </w:p>
    <w:p w:rsidR="004E59F4" w:rsidRDefault="00273D75">
      <w:pPr>
        <w:spacing w:before="170" w:line="300" w:lineRule="auto"/>
        <w:jc w:val="both"/>
      </w:pPr>
      <w:r>
        <w:rPr>
          <w:color w:val="000000"/>
          <w:sz w:val="24"/>
          <w:szCs w:val="24"/>
        </w:rPr>
        <w:t>- proporcji 50% (art. 86a ust. 1 ustawy o VAT) oraz PW i WSP (jeśli pojazd służyłby także do czynności zwolnionych z VAT) - w przypadku gdy nie zostaną spełnione warunki z punktu 1.1 i 1.2.</w:t>
      </w:r>
    </w:p>
    <w:p w:rsidR="004E59F4" w:rsidRDefault="004E59F4">
      <w:pPr>
        <w:spacing w:line="300" w:lineRule="auto"/>
        <w:jc w:val="both"/>
        <w:rPr>
          <w:rFonts w:ascii="Calibri" w:hAnsi="Calibri"/>
          <w:color w:val="00A65D"/>
          <w:sz w:val="24"/>
          <w:szCs w:val="24"/>
        </w:rPr>
      </w:pPr>
    </w:p>
    <w:p w:rsidR="004E59F4" w:rsidRDefault="00273D75">
      <w:pPr>
        <w:spacing w:line="300" w:lineRule="auto"/>
        <w:jc w:val="both"/>
      </w:pPr>
      <w:r>
        <w:rPr>
          <w:color w:val="000000"/>
          <w:sz w:val="24"/>
          <w:szCs w:val="24"/>
        </w:rPr>
        <w:t xml:space="preserve">Sposób opodatkowania usług świadczonych przez JST został przedstawiony w punkcie </w:t>
      </w:r>
      <w:r>
        <w:rPr>
          <w:i/>
          <w:iCs/>
          <w:color w:val="000000"/>
          <w:sz w:val="24"/>
          <w:szCs w:val="24"/>
        </w:rPr>
        <w:t>4. VAT od świadczenia usług transportowych door-to-door przez JST lub spółkę komunalną</w:t>
      </w:r>
      <w:r>
        <w:rPr>
          <w:color w:val="000000"/>
          <w:sz w:val="24"/>
          <w:szCs w:val="24"/>
        </w:rPr>
        <w:t>.</w:t>
      </w:r>
    </w:p>
    <w:p w:rsidR="004E59F4" w:rsidRDefault="004E59F4">
      <w:pPr>
        <w:spacing w:line="300" w:lineRule="auto"/>
        <w:jc w:val="both"/>
        <w:rPr>
          <w:rFonts w:ascii="Calibri" w:hAnsi="Calibri"/>
          <w:color w:val="000000"/>
          <w:sz w:val="24"/>
          <w:szCs w:val="24"/>
        </w:rPr>
      </w:pPr>
    </w:p>
    <w:p w:rsidR="004E59F4" w:rsidRDefault="004E59F4">
      <w:pPr>
        <w:spacing w:line="300" w:lineRule="auto"/>
        <w:jc w:val="both"/>
        <w:rPr>
          <w:rFonts w:ascii="Calibri" w:hAnsi="Calibri"/>
          <w:color w:val="000000"/>
          <w:sz w:val="24"/>
          <w:szCs w:val="24"/>
        </w:rPr>
      </w:pPr>
    </w:p>
    <w:p w:rsidR="004E59F4" w:rsidRDefault="004E59F4">
      <w:pPr>
        <w:spacing w:line="300" w:lineRule="auto"/>
        <w:jc w:val="both"/>
        <w:rPr>
          <w:rFonts w:ascii="Calibri" w:hAnsi="Calibri"/>
          <w:color w:val="000000"/>
          <w:sz w:val="24"/>
          <w:szCs w:val="24"/>
        </w:rPr>
      </w:pPr>
    </w:p>
    <w:p w:rsidR="004E59F4" w:rsidRDefault="00273D75">
      <w:pPr>
        <w:pStyle w:val="Nagwek2"/>
        <w:spacing w:before="227" w:after="113" w:line="300" w:lineRule="auto"/>
        <w:jc w:val="both"/>
        <w:rPr>
          <w:rFonts w:ascii="Calibri" w:hAnsi="Calibri"/>
          <w:i w:val="0"/>
          <w:color w:val="000000"/>
          <w:szCs w:val="24"/>
        </w:rPr>
      </w:pPr>
      <w:r>
        <w:br w:type="page"/>
      </w:r>
    </w:p>
    <w:p w:rsidR="004E59F4" w:rsidRDefault="00273D75">
      <w:pPr>
        <w:pStyle w:val="Nagwek2"/>
        <w:spacing w:before="0" w:after="113" w:line="300" w:lineRule="auto"/>
        <w:jc w:val="both"/>
      </w:pPr>
      <w:bookmarkStart w:id="10" w:name="__RefHeading___Toc3776_3235734992"/>
      <w:bookmarkEnd w:id="10"/>
      <w:r>
        <w:rPr>
          <w:rFonts w:ascii="Calibri" w:hAnsi="Calibri"/>
          <w:i w:val="0"/>
          <w:color w:val="000000"/>
          <w:szCs w:val="24"/>
        </w:rPr>
        <w:lastRenderedPageBreak/>
        <w:t>3. VAT od leasingu przez JST pojazdu służącego do przewozu osób o szczególnych potrzebach</w:t>
      </w:r>
    </w:p>
    <w:p w:rsidR="004E59F4" w:rsidRDefault="00273D75">
      <w:pPr>
        <w:spacing w:line="300" w:lineRule="auto"/>
        <w:jc w:val="both"/>
      </w:pPr>
      <w:r>
        <w:rPr>
          <w:color w:val="000000"/>
          <w:sz w:val="24"/>
          <w:szCs w:val="24"/>
        </w:rPr>
        <w:t>Kwestia odliczenia przez JST podatku naliczonego VAT od leasingu pojazdu służącego do przewozu osób o szczególnych potrzebach będzie kształtować się tak samo, jak to przedstawiono w pkt. 2 „VAT od zakupu przez JST pojazdu służącego do przewozu osób o szczególnych potrzebach”.</w:t>
      </w:r>
    </w:p>
    <w:p w:rsidR="004E59F4" w:rsidRDefault="00273D75">
      <w:pPr>
        <w:spacing w:line="300" w:lineRule="auto"/>
        <w:jc w:val="both"/>
        <w:rPr>
          <w:rFonts w:ascii="Calibri" w:hAnsi="Calibri"/>
          <w:bCs/>
          <w:color w:val="000000"/>
          <w:szCs w:val="24"/>
        </w:rPr>
      </w:pPr>
      <w:bookmarkStart w:id="11" w:name="__RefHeading___Toc14240_3456557757"/>
      <w:bookmarkEnd w:id="11"/>
      <w:r>
        <w:rPr>
          <w:bCs/>
          <w:color w:val="000000"/>
          <w:sz w:val="24"/>
          <w:szCs w:val="24"/>
        </w:rPr>
        <w:t xml:space="preserve">W tym zakresie zastosowanie znajdą bowiem również regulacje art. 86 oraz art. 86a ustawy o VAT. W szczególności bowiem – na podstawie art. 86a ust. 2 pkt 2 ustawy o VAT – do wydatków związanych z pojazdami samochodowymi, o których mowa w ust. 1, zalicza się wydatki dotyczące używania tych pojazdów na podstawie umowy leasingu lub innej umowy o podobnym charakterze, związane z tą umową, inne niż wymienione w pkt 3 </w:t>
      </w:r>
      <w:r>
        <w:rPr>
          <w:bCs/>
          <w:i/>
          <w:iCs/>
          <w:color w:val="000000"/>
          <w:sz w:val="24"/>
          <w:szCs w:val="24"/>
        </w:rPr>
        <w:t>(tj. inne niż wydatki na nabycie lub import paliw silnikowych, oleju napędowego i gazu, wykorzystywanych do napędu tych pojazdów, usług naprawy lub konserwacji tych pojazdów oraz innych towarów i usług związanych z eksploatacją lub używaniem tych pojazdów).</w:t>
      </w:r>
    </w:p>
    <w:p w:rsidR="004E59F4" w:rsidRDefault="004E59F4">
      <w:pPr>
        <w:spacing w:line="300" w:lineRule="auto"/>
        <w:jc w:val="both"/>
        <w:rPr>
          <w:rFonts w:ascii="Calibri" w:hAnsi="Calibri"/>
          <w:b/>
          <w:bCs/>
          <w:color w:val="000000"/>
          <w:sz w:val="24"/>
          <w:szCs w:val="24"/>
        </w:rPr>
      </w:pPr>
    </w:p>
    <w:p w:rsidR="004E59F4" w:rsidRDefault="004E59F4">
      <w:pPr>
        <w:spacing w:line="300" w:lineRule="auto"/>
        <w:jc w:val="both"/>
        <w:rPr>
          <w:rFonts w:ascii="Calibri" w:hAnsi="Calibri"/>
          <w:b/>
          <w:bCs/>
          <w:color w:val="000000"/>
          <w:sz w:val="24"/>
          <w:szCs w:val="24"/>
        </w:rPr>
      </w:pPr>
    </w:p>
    <w:p w:rsidR="004E59F4" w:rsidRDefault="004E59F4">
      <w:pPr>
        <w:spacing w:line="300" w:lineRule="auto"/>
        <w:jc w:val="both"/>
        <w:rPr>
          <w:rFonts w:ascii="Calibri" w:hAnsi="Calibri"/>
          <w:b/>
          <w:bCs/>
          <w:color w:val="000000"/>
          <w:sz w:val="24"/>
          <w:szCs w:val="24"/>
        </w:rPr>
      </w:pPr>
    </w:p>
    <w:p w:rsidR="004E59F4" w:rsidRDefault="00273D75">
      <w:pPr>
        <w:pStyle w:val="Nagwek2"/>
        <w:keepNext w:val="0"/>
        <w:spacing w:line="300" w:lineRule="auto"/>
        <w:jc w:val="both"/>
        <w:rPr>
          <w:rFonts w:ascii="Calibri" w:hAnsi="Calibri"/>
          <w:bCs/>
          <w:i w:val="0"/>
          <w:color w:val="000000"/>
          <w:szCs w:val="24"/>
        </w:rPr>
      </w:pPr>
      <w:r>
        <w:br w:type="page"/>
      </w:r>
    </w:p>
    <w:p w:rsidR="004E59F4" w:rsidRDefault="00273D75">
      <w:pPr>
        <w:pStyle w:val="Nagwek2"/>
        <w:spacing w:before="0" w:after="113" w:line="300" w:lineRule="auto"/>
        <w:jc w:val="both"/>
      </w:pPr>
      <w:bookmarkStart w:id="12" w:name="__RefHeading___Toc4851_1472122084"/>
      <w:bookmarkEnd w:id="12"/>
      <w:r>
        <w:rPr>
          <w:rFonts w:ascii="Calibri" w:hAnsi="Calibri"/>
          <w:bCs/>
          <w:i w:val="0"/>
          <w:color w:val="000000"/>
          <w:szCs w:val="24"/>
        </w:rPr>
        <w:lastRenderedPageBreak/>
        <w:t>4. VAT od świadczenia usług transportowych door-to-door przez JST lub spółkę komunalną</w:t>
      </w:r>
    </w:p>
    <w:p w:rsidR="004E59F4" w:rsidRDefault="00273D75">
      <w:pPr>
        <w:spacing w:line="300" w:lineRule="auto"/>
        <w:jc w:val="both"/>
      </w:pPr>
      <w:r>
        <w:rPr>
          <w:color w:val="000000"/>
          <w:sz w:val="24"/>
          <w:szCs w:val="24"/>
        </w:rPr>
        <w:t>Jak wynika ze stanu faktycznego, w tym wariancie mamy do czynienia z dwoma możliwościami  realizacji świadczenia usług transportowych door-to-door, tj.:</w:t>
      </w:r>
    </w:p>
    <w:p w:rsidR="004E59F4" w:rsidRDefault="00273D75">
      <w:pPr>
        <w:spacing w:line="300" w:lineRule="auto"/>
        <w:jc w:val="both"/>
        <w:rPr>
          <w:color w:val="000000"/>
        </w:rPr>
      </w:pPr>
      <w:r>
        <w:rPr>
          <w:color w:val="000000"/>
          <w:sz w:val="24"/>
          <w:szCs w:val="24"/>
        </w:rPr>
        <w:t xml:space="preserve">    • realizacja usług własnymi siłami lub siłami własnych jednostek organizacyjnych;</w:t>
      </w:r>
    </w:p>
    <w:p w:rsidR="004E59F4" w:rsidRDefault="00273D75">
      <w:pPr>
        <w:spacing w:line="300" w:lineRule="auto"/>
        <w:jc w:val="both"/>
      </w:pPr>
      <w:r>
        <w:rPr>
          <w:color w:val="000000"/>
          <w:sz w:val="24"/>
          <w:szCs w:val="24"/>
        </w:rPr>
        <w:t xml:space="preserve">    • zlecenie świadczenia usługi własnej spółce.</w:t>
      </w:r>
    </w:p>
    <w:p w:rsidR="004E59F4" w:rsidRDefault="00273D75">
      <w:pPr>
        <w:spacing w:line="300" w:lineRule="auto"/>
        <w:jc w:val="both"/>
      </w:pPr>
      <w:r>
        <w:rPr>
          <w:color w:val="000000"/>
          <w:sz w:val="24"/>
          <w:szCs w:val="24"/>
        </w:rPr>
        <w:t>W drugim przypadku, możliwość zlecenia świadczenia usług własnej spółce stwarza ustawa Prawo zamówień publicznych, tj. zamówienie in-</w:t>
      </w:r>
      <w:proofErr w:type="spellStart"/>
      <w:r>
        <w:rPr>
          <w:color w:val="000000"/>
          <w:sz w:val="24"/>
          <w:szCs w:val="24"/>
        </w:rPr>
        <w:t>house</w:t>
      </w:r>
      <w:proofErr w:type="spellEnd"/>
      <w:r>
        <w:rPr>
          <w:color w:val="000000"/>
          <w:sz w:val="24"/>
          <w:szCs w:val="24"/>
        </w:rPr>
        <w:t>. Możliwe jest też powierzenie świadczenia usług publicznych (tj. realizacji zadania własnego - zaspokajanie potrzeb z zakresu lokalnego transportu zbiorowego) własnej spółce jako podmiotowi wewnętrznemu (w rozumieniu rozporządzenia (WE) Nr 1370/2007).</w:t>
      </w:r>
    </w:p>
    <w:p w:rsidR="004E59F4" w:rsidRDefault="00273D75">
      <w:pPr>
        <w:spacing w:line="300" w:lineRule="auto"/>
        <w:jc w:val="both"/>
      </w:pPr>
      <w:r>
        <w:rPr>
          <w:color w:val="000000"/>
          <w:sz w:val="24"/>
          <w:szCs w:val="24"/>
        </w:rPr>
        <w:t>Jak wskazano już w pkt. 1 ekspertyzy, po stronie JST istnieją argumenty za uznaniem, iż świadczone przez JST usługi na rzecz pasażerów nie podlegają w ogóle opodatkowaniu VAT, w tym z uwagi na zastosowanie art. 15 ust. 6 ustawy o VAT. Jednak, jeżeli JST chciałaby przyjąć takie podejście, to powinno to zostać poprzedzone interpretacją indywidualną, bowiem istnieje duże ryzyko zakwestionowania takiego podejścia przez organy podatkowe</w:t>
      </w:r>
    </w:p>
    <w:p w:rsidR="004E59F4" w:rsidRDefault="00273D75">
      <w:pPr>
        <w:spacing w:line="300" w:lineRule="auto"/>
        <w:jc w:val="both"/>
      </w:pPr>
      <w:r>
        <w:rPr>
          <w:color w:val="000000"/>
          <w:sz w:val="24"/>
          <w:szCs w:val="24"/>
        </w:rPr>
        <w:t>W przeciwnym przypadku, w razie pobierania odpłatności od pasażerów, przyjąć należałoby jednak, iż JST świadczy usługi podlegające VAT.</w:t>
      </w:r>
    </w:p>
    <w:p w:rsidR="004E59F4" w:rsidRDefault="00273D75">
      <w:pPr>
        <w:spacing w:before="340" w:line="300" w:lineRule="auto"/>
        <w:jc w:val="both"/>
      </w:pPr>
      <w:r>
        <w:rPr>
          <w:color w:val="000000"/>
          <w:sz w:val="24"/>
          <w:szCs w:val="24"/>
        </w:rPr>
        <w:t>Niezależnie jednak od tego, kto będzie świadczył tę usługę i na czyją rzecz (o czym szerzej w dalszej części tego punktu), ustalenia wymaga zatem stawka podatkowa, według której usługi tę będą opodatkowane.</w:t>
      </w:r>
    </w:p>
    <w:p w:rsidR="004E59F4" w:rsidRDefault="00273D75">
      <w:pPr>
        <w:spacing w:before="340" w:line="300" w:lineRule="auto"/>
        <w:jc w:val="both"/>
      </w:pPr>
      <w:r>
        <w:rPr>
          <w:color w:val="000000"/>
          <w:sz w:val="24"/>
          <w:szCs w:val="24"/>
        </w:rPr>
        <w:t>Jak już wskazano na wstępie, zgodnie z art. 5 ust. 1 pkt 1 ustawy o VAT, opodatkowaniu podatkiem VAT podlegają odpłatna dostawa towarów i odpłatne świadczenie usług na terytorium kraju. Z kolei, na mocy art. 5a tej ustawy (wg brzmienia obowiązującego na dzień wydania niniejszej ekspertyzy) towary lub usługi będące przedmiotem czynności, o których mowa w art. 5, wymienione w klasyfikacjach wydanych na podstawie przepisów o statystyce publicznej, są identyfikowane za pomocą tych klasyfikacji, jeżeli dla tych towarów lub usług przepisy ustawy lub przepisy wykonawcze wydane na jej podstawie powołują symbole statystyczne.</w:t>
      </w:r>
    </w:p>
    <w:p w:rsidR="004E59F4" w:rsidRDefault="00273D75">
      <w:pPr>
        <w:spacing w:before="340" w:line="300" w:lineRule="auto"/>
        <w:jc w:val="both"/>
        <w:rPr>
          <w:rFonts w:ascii="Calibri" w:hAnsi="Calibri"/>
          <w:color w:val="000000"/>
          <w:sz w:val="24"/>
          <w:szCs w:val="24"/>
        </w:rPr>
      </w:pPr>
      <w:r>
        <w:rPr>
          <w:color w:val="000000"/>
          <w:sz w:val="24"/>
          <w:szCs w:val="24"/>
        </w:rPr>
        <w:t>Zgodnie natomiast z art. 41 ust. 1 ww. ustawy, stawka podatku wynosi 22%, z zastrzeżeniem ust. 2-12c, art. 83, art. 119 ust. 7, art. 120 ust. 2 i 3, art. 122 i art. 129 ust. 1.</w:t>
      </w:r>
    </w:p>
    <w:p w:rsidR="004E59F4" w:rsidRDefault="00273D75">
      <w:pPr>
        <w:spacing w:before="340" w:line="300" w:lineRule="auto"/>
        <w:jc w:val="both"/>
      </w:pPr>
      <w:r>
        <w:rPr>
          <w:color w:val="000000"/>
          <w:sz w:val="24"/>
          <w:szCs w:val="24"/>
        </w:rPr>
        <w:lastRenderedPageBreak/>
        <w:t>Z art. 41 ust. 13 ustawy o VAT (wg brzmienia obowiązującego na dzień wydania niniejszej ekspertyzy), wynika z kolei, iż towary i usługi będące przedmiotem czynności, o których mowa w art. 5, niewymienione w klasyfikacjach wydanych na podstawie przepisów o statystyce publicznej podlegają opodatkowaniu stawką w wysokości 22%, z wyjątkiem tych, dla których w ustawie lub przepisach wykonawczych określono inną stawkę.</w:t>
      </w:r>
    </w:p>
    <w:p w:rsidR="004E59F4" w:rsidRDefault="00273D75">
      <w:pPr>
        <w:spacing w:before="340" w:line="300" w:lineRule="auto"/>
        <w:jc w:val="both"/>
      </w:pPr>
      <w:r>
        <w:rPr>
          <w:color w:val="000000"/>
          <w:sz w:val="24"/>
          <w:szCs w:val="24"/>
        </w:rPr>
        <w:t xml:space="preserve">Zarówno w treści ustawy o VAT, jak i przepisach wykonawczych do tej ustawy, dla niektórych czynności przewidziano jednak obniżone stawki podatku, bądź zwolnienie od podatku. </w:t>
      </w:r>
      <w:r>
        <w:rPr>
          <w:color w:val="000000"/>
          <w:sz w:val="24"/>
          <w:szCs w:val="24"/>
        </w:rPr>
        <w:br/>
        <w:t xml:space="preserve">W szczególności, stosownie do art. 41 ust. 2 tej ustawy, dla towarów i usług, wymienionych </w:t>
      </w:r>
      <w:r>
        <w:rPr>
          <w:color w:val="000000"/>
          <w:sz w:val="24"/>
          <w:szCs w:val="24"/>
        </w:rPr>
        <w:br/>
        <w:t>w załączniku nr 3 do ustawy, stawka podatku wynosi 7%, z zastrzeżeniem ust. 12 i art. 114 ust. 1.</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pPr>
      <w:r>
        <w:rPr>
          <w:color w:val="000000"/>
          <w:sz w:val="24"/>
          <w:szCs w:val="24"/>
        </w:rPr>
        <w:t>Jednakże, stosownie do treści art. 146aa ust. 1 pkt 1 i 2 ustawy o VAT, w okresie od dnia 1 stycznia 2019 r. do końca roku następującego po roku, dla którego wartość relacji, o której mowa w art. 38a pkt 4 ustawy z dnia 27 sierpnia 2009 r. o finansach publicznych, jest nie większa niż 43% oraz wartość, o której mowa w art. 112aa ust. 5 tej ustawy, jest nie mniejsza niż -6%:</w:t>
      </w:r>
    </w:p>
    <w:p w:rsidR="004E59F4" w:rsidRDefault="00273D75">
      <w:pPr>
        <w:spacing w:line="300" w:lineRule="auto"/>
        <w:jc w:val="both"/>
      </w:pPr>
      <w:r>
        <w:rPr>
          <w:color w:val="000000"/>
          <w:sz w:val="24"/>
          <w:szCs w:val="24"/>
        </w:rPr>
        <w:t>1) stawka podatku, o której mowa w art. 41 ust. 1 i 13, art. 109 ust. 2 i art. 110, wynosi 23%;</w:t>
      </w:r>
    </w:p>
    <w:p w:rsidR="004E59F4" w:rsidRDefault="00273D75">
      <w:pPr>
        <w:spacing w:line="300" w:lineRule="auto"/>
        <w:jc w:val="both"/>
      </w:pPr>
      <w:r>
        <w:rPr>
          <w:color w:val="000000"/>
          <w:sz w:val="24"/>
          <w:szCs w:val="24"/>
        </w:rPr>
        <w:t>2) stawka podatku, o której mowa w art. 41 ust. 2, art. 120 ust. 2 i 3 oraz tytule załącznika nr 3 do ustawy, wynosi 8%;</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color w:val="000000"/>
          <w:sz w:val="24"/>
          <w:szCs w:val="24"/>
        </w:rPr>
      </w:pPr>
      <w:r>
        <w:rPr>
          <w:color w:val="000000"/>
          <w:sz w:val="24"/>
          <w:szCs w:val="24"/>
        </w:rPr>
        <w:t>W załączniku nr 3 do ustawy o VAT (wg brzmienia obowiązującego na dzień wydania niniejszej ekspertyzy), stanowiącego wykaz towarów i usług opodatkowanych obecnie stawką podatku w wysokości 8% znajdują się m.in. niżej wymienione usługi:</w:t>
      </w:r>
    </w:p>
    <w:p w:rsidR="004E59F4" w:rsidRDefault="00273D75">
      <w:pPr>
        <w:spacing w:line="300" w:lineRule="auto"/>
        <w:jc w:val="both"/>
        <w:rPr>
          <w:rFonts w:ascii="Calibri" w:hAnsi="Calibri"/>
          <w:color w:val="000000"/>
          <w:sz w:val="24"/>
          <w:szCs w:val="24"/>
        </w:rPr>
      </w:pPr>
      <w:r>
        <w:rPr>
          <w:color w:val="000000"/>
          <w:sz w:val="24"/>
          <w:szCs w:val="24"/>
        </w:rPr>
        <w:t>- poz. 155: PKWiU 49.31 - Transport lądowy pasażerski, miejski i podmiejski</w:t>
      </w:r>
    </w:p>
    <w:p w:rsidR="004E59F4" w:rsidRDefault="00273D75">
      <w:pPr>
        <w:spacing w:line="300" w:lineRule="auto"/>
        <w:jc w:val="both"/>
      </w:pPr>
      <w:r>
        <w:rPr>
          <w:color w:val="000000"/>
          <w:sz w:val="24"/>
          <w:szCs w:val="24"/>
        </w:rPr>
        <w:t>-poz. 157: PKWiU 49.39 - Pozostały transport lądowy pasażerski, gdzie indziej niesklasyfikowany.</w:t>
      </w:r>
    </w:p>
    <w:p w:rsidR="004E59F4" w:rsidRDefault="004E59F4">
      <w:pPr>
        <w:spacing w:line="300" w:lineRule="auto"/>
        <w:jc w:val="both"/>
        <w:rPr>
          <w:color w:val="000000"/>
          <w:sz w:val="24"/>
          <w:szCs w:val="24"/>
        </w:rPr>
      </w:pPr>
    </w:p>
    <w:p w:rsidR="004E59F4" w:rsidRDefault="00273D75">
      <w:pPr>
        <w:spacing w:line="300" w:lineRule="auto"/>
        <w:jc w:val="both"/>
        <w:rPr>
          <w:rFonts w:ascii="Calibri" w:hAnsi="Calibri"/>
          <w:color w:val="000000"/>
          <w:sz w:val="24"/>
          <w:szCs w:val="24"/>
        </w:rPr>
      </w:pPr>
      <w:r>
        <w:rPr>
          <w:color w:val="000000"/>
          <w:sz w:val="24"/>
          <w:szCs w:val="24"/>
        </w:rPr>
        <w:t xml:space="preserve">Co bowiem istotne, na mocy art. 7 ust. 1 i 2 ustawy z dnia 9 sierpnia 2019 r. o zmianie ustawy o podatku od towarów i usług oraz niektórych innych ustaw </w:t>
      </w:r>
      <w:r>
        <w:rPr>
          <w:i/>
          <w:iCs/>
          <w:color w:val="000000"/>
          <w:sz w:val="24"/>
          <w:szCs w:val="24"/>
        </w:rPr>
        <w:t xml:space="preserve">(Dz.U. z 2019 r. poz. 1751 z </w:t>
      </w:r>
      <w:proofErr w:type="spellStart"/>
      <w:r>
        <w:rPr>
          <w:i/>
          <w:iCs/>
          <w:color w:val="000000"/>
          <w:sz w:val="24"/>
          <w:szCs w:val="24"/>
        </w:rPr>
        <w:t>późn</w:t>
      </w:r>
      <w:proofErr w:type="spellEnd"/>
      <w:r>
        <w:rPr>
          <w:i/>
          <w:iCs/>
          <w:color w:val="000000"/>
          <w:sz w:val="24"/>
          <w:szCs w:val="24"/>
        </w:rPr>
        <w:t>. zm.)</w:t>
      </w:r>
    </w:p>
    <w:p w:rsidR="004E59F4" w:rsidRDefault="00273D75">
      <w:pPr>
        <w:spacing w:line="300" w:lineRule="auto"/>
        <w:jc w:val="both"/>
      </w:pPr>
      <w:r>
        <w:rPr>
          <w:color w:val="000000"/>
          <w:sz w:val="24"/>
          <w:szCs w:val="24"/>
        </w:rPr>
        <w:t xml:space="preserve">- przepisy art. 2 pkt 15, 20, 21 i 30, art. 5a, art. 19a ust. 5 pkt 3 lit. b i c i pkt 4 lit. b </w:t>
      </w:r>
      <w:proofErr w:type="spellStart"/>
      <w:r>
        <w:rPr>
          <w:color w:val="000000"/>
          <w:sz w:val="24"/>
          <w:szCs w:val="24"/>
        </w:rPr>
        <w:t>tiret</w:t>
      </w:r>
      <w:proofErr w:type="spellEnd"/>
      <w:r>
        <w:rPr>
          <w:color w:val="000000"/>
          <w:sz w:val="24"/>
          <w:szCs w:val="24"/>
        </w:rPr>
        <w:t xml:space="preserve"> drugie, art. 29a ust. 15 pkt 3, art. 41 ust. 2, 2a, 12, 12c-12f, 13 i ust. 14e pkt 3, art. 43 ust. 20, art. 83 ust. 1 pkt 1, 14 i 15, art. 113 ust. 13 pkt 1 lit. b </w:t>
      </w:r>
      <w:proofErr w:type="spellStart"/>
      <w:r>
        <w:rPr>
          <w:color w:val="000000"/>
          <w:sz w:val="24"/>
          <w:szCs w:val="24"/>
        </w:rPr>
        <w:t>tiret</w:t>
      </w:r>
      <w:proofErr w:type="spellEnd"/>
      <w:r>
        <w:rPr>
          <w:color w:val="000000"/>
          <w:sz w:val="24"/>
          <w:szCs w:val="24"/>
        </w:rPr>
        <w:t xml:space="preserve"> pierwsze i art. 120 ust. 1 pkt 1 lit. a-d i pkt 4 ustawy zmienianej w art. 1 oraz załączników nr 3, 10 i 12 do ustawy zmienianej w art. 1, w </w:t>
      </w:r>
      <w:r>
        <w:rPr>
          <w:color w:val="000000"/>
          <w:sz w:val="24"/>
          <w:szCs w:val="24"/>
        </w:rPr>
        <w:lastRenderedPageBreak/>
        <w:t>brzmieniu nadanym niniejszą ustawą, stosuje się od dnia 1 lipca 2020 r., z zastrzeżeniem ust. 3.</w:t>
      </w:r>
    </w:p>
    <w:p w:rsidR="004E59F4" w:rsidRDefault="00273D75">
      <w:pPr>
        <w:spacing w:line="300" w:lineRule="auto"/>
        <w:jc w:val="both"/>
        <w:rPr>
          <w:rFonts w:ascii="Calibri" w:hAnsi="Calibri"/>
          <w:color w:val="000000"/>
          <w:sz w:val="24"/>
          <w:szCs w:val="24"/>
        </w:rPr>
      </w:pPr>
      <w:r>
        <w:rPr>
          <w:color w:val="000000"/>
          <w:sz w:val="24"/>
          <w:szCs w:val="24"/>
        </w:rPr>
        <w:t xml:space="preserve">- w okresie od dnia 1 listopada 2019 r. do dnia 30 czerwca 2020 r. przepisy art. 2 pkt 15, 20, 21 i 30, art. 5a, art. 19a ust. 5 pkt 3 lit. b i c i pkt 4 lit. b </w:t>
      </w:r>
      <w:proofErr w:type="spellStart"/>
      <w:r>
        <w:rPr>
          <w:color w:val="000000"/>
          <w:sz w:val="24"/>
          <w:szCs w:val="24"/>
        </w:rPr>
        <w:t>tiret</w:t>
      </w:r>
      <w:proofErr w:type="spellEnd"/>
      <w:r>
        <w:rPr>
          <w:color w:val="000000"/>
          <w:sz w:val="24"/>
          <w:szCs w:val="24"/>
        </w:rPr>
        <w:t xml:space="preserve"> drugie, art. 29a ust. 15 pkt 3, art. 41 ust. 2, 2a, 12, 12c, 13 i ust. 14e pkt 3, art. 43 ust. 20, art. 83 ust. 1 pkt 1, 2, 14 i 15, art. 113 ust. 13 pkt 1 lit. b </w:t>
      </w:r>
      <w:proofErr w:type="spellStart"/>
      <w:r>
        <w:rPr>
          <w:color w:val="000000"/>
          <w:sz w:val="24"/>
          <w:szCs w:val="24"/>
        </w:rPr>
        <w:t>tiret</w:t>
      </w:r>
      <w:proofErr w:type="spellEnd"/>
      <w:r>
        <w:rPr>
          <w:color w:val="000000"/>
          <w:sz w:val="24"/>
          <w:szCs w:val="24"/>
        </w:rPr>
        <w:t xml:space="preserve"> pierwsze i art. 120 ust. 1 pkt 1 lit. a-d i pkt 4 ustawy zmienianej w art. 1 oraz załącznika nr 2, załącznika nr 3, z wyłączeniem poz. 72-75, załącznika nr 10, z wyłączeniem poz. 32-35, oraz załącznika nr 12 do ustawy zmienianej w art. 1 stosuje się w brzmieniu dotychczasowym.</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pPr>
      <w:r>
        <w:rPr>
          <w:color w:val="000000"/>
          <w:sz w:val="24"/>
          <w:szCs w:val="24"/>
        </w:rPr>
        <w:t>Zgodnie ze stanem faktycznym, usługa door-to-door to usługa indywidualnego transportu osoby z potrzebą wsparcia w zakresie mobilności, obejmująca pomoc w wydostaniu się z mieszkania lub innego miejsca, przejazd i pomoc w dotarciu do miejsca docelowego. Tym samym, usługa door-to-door obejmuje następujące, dające się wyodrębnić świadczenia:</w:t>
      </w:r>
    </w:p>
    <w:p w:rsidR="004E59F4" w:rsidRDefault="00273D75">
      <w:pPr>
        <w:spacing w:line="300" w:lineRule="auto"/>
        <w:jc w:val="both"/>
        <w:rPr>
          <w:rFonts w:ascii="Calibri" w:hAnsi="Calibri"/>
          <w:color w:val="000000"/>
          <w:sz w:val="24"/>
          <w:szCs w:val="24"/>
        </w:rPr>
      </w:pPr>
      <w:r>
        <w:rPr>
          <w:color w:val="000000"/>
          <w:sz w:val="24"/>
          <w:szCs w:val="24"/>
        </w:rPr>
        <w:t>- pomoc w wydostaniu się z mieszkania lub innego miejsca oraz pomoc w dotarciu do miejsca docelowego</w:t>
      </w:r>
    </w:p>
    <w:p w:rsidR="004E59F4" w:rsidRDefault="00273D75">
      <w:pPr>
        <w:spacing w:line="300" w:lineRule="auto"/>
        <w:jc w:val="both"/>
      </w:pPr>
      <w:r>
        <w:rPr>
          <w:color w:val="000000"/>
          <w:sz w:val="24"/>
          <w:szCs w:val="24"/>
        </w:rPr>
        <w:t>-  przejazd</w:t>
      </w:r>
    </w:p>
    <w:p w:rsidR="004E59F4" w:rsidRDefault="004E59F4">
      <w:pPr>
        <w:spacing w:line="300" w:lineRule="auto"/>
        <w:jc w:val="both"/>
        <w:rPr>
          <w:color w:val="000000"/>
          <w:sz w:val="12"/>
          <w:szCs w:val="12"/>
        </w:rPr>
      </w:pPr>
    </w:p>
    <w:p w:rsidR="004E59F4" w:rsidRDefault="00273D75">
      <w:pPr>
        <w:spacing w:line="300" w:lineRule="auto"/>
        <w:jc w:val="both"/>
      </w:pPr>
      <w:r>
        <w:rPr>
          <w:color w:val="000000"/>
          <w:sz w:val="24"/>
          <w:szCs w:val="24"/>
        </w:rPr>
        <w:t xml:space="preserve">Wskazać należy, iż w orzecznictwie podnosi się, że „jeżeli dwa lub więcej niż dwa świadczenia (lub czynności) dokonane przez podatnika na rzecz konsumenta, rozumianego jako konsumenta przeciętnego, są tak ściśle związane, że obiektywnie tworzą one w aspekcie gospodarczym jedną całość, której rozdzielenie miałoby sztuczny charakter, to wszystkie te świadczenia lub czynności stanowią jednolite świadczenie do celów stosowania podatku od wartości dodanej" (por. wyrok </w:t>
      </w:r>
      <w:r>
        <w:rPr>
          <w:rFonts w:eastAsia="Calibri"/>
          <w:color w:val="000000"/>
          <w:sz w:val="24"/>
          <w:szCs w:val="24"/>
        </w:rPr>
        <w:t>TSUE</w:t>
      </w:r>
      <w:r>
        <w:rPr>
          <w:color w:val="000000"/>
          <w:sz w:val="24"/>
          <w:szCs w:val="24"/>
        </w:rPr>
        <w:t xml:space="preserve"> z 27.10.2005 r. w sprawie C-41/04).</w:t>
      </w:r>
    </w:p>
    <w:p w:rsidR="004E59F4" w:rsidRDefault="00273D75">
      <w:pPr>
        <w:spacing w:line="300" w:lineRule="auto"/>
        <w:jc w:val="both"/>
      </w:pPr>
      <w:r>
        <w:rPr>
          <w:color w:val="000000"/>
          <w:sz w:val="24"/>
          <w:szCs w:val="24"/>
        </w:rPr>
        <w:t xml:space="preserve">Jeśli zatem usługa składa się z kilku dających się wyodrębnić świadczeń składowych, jeżeli jedno lub więcej świadczeń stanowi świadczenie główne, a inne świadczenie lub świadczenia stanowią jedno lub więcej świadczeń pomocniczych, to czynności pomocnicze dzielą los podatkowy świadczenia głównego. W szczególności dane świadczenie należy uważać za świadczenie pomocnicze w stosunku do świadczenia głównego, gdy dla klientów (tu: pasażerów) nie stanowi ono celu samego w sobie, lecz środek do korzystania na jak najlepszych warunkach z głównej usługi usługodawcy (por. m.in. wyrok </w:t>
      </w:r>
      <w:r>
        <w:rPr>
          <w:rFonts w:eastAsia="Calibri"/>
          <w:color w:val="000000"/>
          <w:sz w:val="24"/>
          <w:szCs w:val="24"/>
        </w:rPr>
        <w:t>TSUE</w:t>
      </w:r>
      <w:r>
        <w:rPr>
          <w:color w:val="000000"/>
          <w:sz w:val="24"/>
          <w:szCs w:val="24"/>
        </w:rPr>
        <w:t xml:space="preserve"> z 11.06.2009 r. w sprawie C-572/07). Podobne wnioski wynikają z wyroku TSUE z 17.01.2013 r. w sprawie C-224/11. </w:t>
      </w:r>
    </w:p>
    <w:p w:rsidR="004E59F4" w:rsidRDefault="00273D75">
      <w:pPr>
        <w:spacing w:line="300" w:lineRule="auto"/>
        <w:jc w:val="both"/>
      </w:pPr>
      <w:r>
        <w:rPr>
          <w:color w:val="000000"/>
          <w:sz w:val="24"/>
          <w:szCs w:val="24"/>
        </w:rPr>
        <w:t xml:space="preserve">W ramach świadczenia kompleksowego konieczne jest wskazanie świadczenia wiodącego (głównego, zasadniczego). Ono bowiem będzie wówczas rozstrzygać o sposobie </w:t>
      </w:r>
      <w:r>
        <w:rPr>
          <w:color w:val="000000"/>
          <w:sz w:val="24"/>
          <w:szCs w:val="24"/>
        </w:rPr>
        <w:lastRenderedPageBreak/>
        <w:t>opodatkowania czynności (por. m.in. wyrok NSA z 01.12.2015 r., sygn. akt I FSK 1002/14). Z kolei, za pomocnicze mogą być uznane takie usługi, które nie stanowią celu samego w sobie (por. orzeczenie TSUE z 14.06.2007 r. w sprawie C-434/05).</w:t>
      </w:r>
    </w:p>
    <w:p w:rsidR="004E59F4" w:rsidRDefault="00273D75">
      <w:pPr>
        <w:spacing w:before="340" w:line="300" w:lineRule="auto"/>
        <w:jc w:val="both"/>
      </w:pPr>
      <w:r>
        <w:rPr>
          <w:color w:val="000000"/>
          <w:sz w:val="24"/>
          <w:szCs w:val="24"/>
        </w:rPr>
        <w:t xml:space="preserve">W usłudze door-to-door </w:t>
      </w:r>
      <w:r>
        <w:rPr>
          <w:b/>
          <w:bCs/>
          <w:color w:val="000000"/>
          <w:sz w:val="24"/>
          <w:szCs w:val="24"/>
        </w:rPr>
        <w:t xml:space="preserve">świadczeniem głównym jest </w:t>
      </w:r>
      <w:r>
        <w:rPr>
          <w:color w:val="000000"/>
          <w:sz w:val="24"/>
          <w:szCs w:val="24"/>
        </w:rPr>
        <w:t>niewątpliwie</w:t>
      </w:r>
      <w:r>
        <w:rPr>
          <w:b/>
          <w:bCs/>
          <w:color w:val="000000"/>
          <w:sz w:val="24"/>
          <w:szCs w:val="24"/>
        </w:rPr>
        <w:t xml:space="preserve"> usługa przejazdu (transportu), a usługa mająca na celu pomoc w wydostaniu się z mieszkania lub innego miejsca oraz pomoc w dotarciu do miejsca docelowego jest jedynie świadczeniem pomocniczym</w:t>
      </w:r>
      <w:r>
        <w:rPr>
          <w:color w:val="000000"/>
          <w:sz w:val="24"/>
          <w:szCs w:val="24"/>
        </w:rPr>
        <w:t xml:space="preserve"> (w stosunku do świadczenia głównego), które to świadczenie pomocnicze dla pasażerów nie stanowi celu samego w sobie, lecz jest środkiem do lepszego skorzystania (korzystania na jak najlepszych warunkach) z usługi głównej, tj. z usługi przewozu (transportu).</w:t>
      </w:r>
    </w:p>
    <w:p w:rsidR="004E59F4" w:rsidRDefault="00273D75">
      <w:pPr>
        <w:spacing w:before="340" w:line="300" w:lineRule="auto"/>
        <w:jc w:val="both"/>
      </w:pPr>
      <w:r>
        <w:rPr>
          <w:color w:val="000000"/>
          <w:sz w:val="24"/>
          <w:szCs w:val="24"/>
        </w:rPr>
        <w:t>Mając na uwadze przytoczone powyżej regulacje</w:t>
      </w:r>
      <w:r>
        <w:rPr>
          <w:b/>
          <w:bCs/>
          <w:color w:val="000000"/>
          <w:sz w:val="24"/>
          <w:szCs w:val="24"/>
        </w:rPr>
        <w:t xml:space="preserve">, w naszej ocenie, usługi transportowe door-to-door podlegają co do zasady opodatkowaniu wg stawki VAT 8% </w:t>
      </w:r>
      <w:r>
        <w:rPr>
          <w:color w:val="000000"/>
          <w:sz w:val="24"/>
          <w:szCs w:val="24"/>
        </w:rPr>
        <w:t>(zasadniczo jako usługi mieszczące się w grupowaniu PKWiU 49.31).</w:t>
      </w:r>
    </w:p>
    <w:p w:rsidR="004E59F4" w:rsidRDefault="004E59F4">
      <w:pPr>
        <w:spacing w:line="300" w:lineRule="auto"/>
        <w:jc w:val="both"/>
        <w:rPr>
          <w:b/>
          <w:bCs/>
        </w:rPr>
      </w:pPr>
    </w:p>
    <w:p w:rsidR="004E59F4" w:rsidRDefault="00273D75">
      <w:pPr>
        <w:spacing w:line="300" w:lineRule="auto"/>
        <w:jc w:val="both"/>
      </w:pPr>
      <w:r>
        <w:rPr>
          <w:b/>
          <w:bCs/>
          <w:color w:val="000000"/>
          <w:sz w:val="24"/>
          <w:szCs w:val="24"/>
        </w:rPr>
        <w:t>Ponadto, wskazać należy, iż ustawa o VAT umożliwia skorzystanie ze zwolnienia z opodatkowania</w:t>
      </w:r>
      <w:r>
        <w:rPr>
          <w:color w:val="000000"/>
          <w:sz w:val="24"/>
          <w:szCs w:val="24"/>
        </w:rPr>
        <w:t xml:space="preserve"> w przypadku, o którym mowa w art. 113 ust. 1 ustawy o VAT.  Stanowi on, iż zwalnia się od podatku sprzedaż dokonywaną przez podatników, u których wartość sprzedaży nie przekroczyła łącznie w poprzednim roku podatkowym kwoty 200.000 zł. Do wartości sprzedaży nie wlicza się kwoty podatku.</w:t>
      </w:r>
    </w:p>
    <w:p w:rsidR="004E59F4" w:rsidRDefault="00273D75">
      <w:pPr>
        <w:spacing w:line="300" w:lineRule="auto"/>
        <w:jc w:val="both"/>
      </w:pPr>
      <w:r>
        <w:rPr>
          <w:b/>
          <w:bCs/>
          <w:color w:val="000000"/>
          <w:sz w:val="24"/>
          <w:szCs w:val="24"/>
        </w:rPr>
        <w:t>Tym samym, jeżeli JST nie będzie posiadała statusu czynnego podatnik VAT i spełni warunki z art. 113 ust. 1 ustawy o VAT, to może skorzystać ze zwolnienia z opodatkowania.</w:t>
      </w:r>
    </w:p>
    <w:p w:rsidR="004E59F4" w:rsidRDefault="004E59F4">
      <w:pPr>
        <w:spacing w:line="300" w:lineRule="auto"/>
        <w:jc w:val="both"/>
        <w:rPr>
          <w:b/>
          <w:bCs/>
          <w:color w:val="000000"/>
          <w:sz w:val="24"/>
          <w:szCs w:val="24"/>
        </w:rPr>
      </w:pPr>
    </w:p>
    <w:p w:rsidR="004E59F4" w:rsidRDefault="00273D75">
      <w:pPr>
        <w:spacing w:line="300" w:lineRule="auto"/>
        <w:jc w:val="both"/>
      </w:pPr>
      <w:r>
        <w:rPr>
          <w:color w:val="000000"/>
          <w:sz w:val="24"/>
          <w:szCs w:val="24"/>
        </w:rPr>
        <w:t>Z kolei, w modelu świadczenia usług przez JST bez pobierania opłat, przy podejściu, iż dotacja nie stanowi elementu podstawy opodatkowania VAT, uznać należałoby, iż skoro usługa nie jest świadczona odpłatnie, to nie podlega ona VAT na postawie art. 5 ust. 1 pkt 1 w zw. z art. 8 ust. 1 ustawy o VAT.</w:t>
      </w:r>
    </w:p>
    <w:p w:rsidR="004E59F4" w:rsidRDefault="00273D75">
      <w:pPr>
        <w:spacing w:line="300" w:lineRule="auto"/>
        <w:jc w:val="both"/>
      </w:pPr>
      <w:r>
        <w:rPr>
          <w:color w:val="000000"/>
          <w:sz w:val="24"/>
          <w:szCs w:val="24"/>
        </w:rPr>
        <w:t>W szczególności bowiem, argumentować należy, iż nie znajdzie tu zastosowania art. 8 ust. 2 pkt 2 ustawy o VAT. Zgodnie z tym przepisem,</w:t>
      </w:r>
      <w:r>
        <w:rPr>
          <w:i/>
          <w:iCs/>
          <w:color w:val="000000"/>
          <w:sz w:val="24"/>
          <w:szCs w:val="24"/>
        </w:rPr>
        <w:t xml:space="preserve"> za odpłatne świadczenie usług uznaje się również nieodpłatne świadczenie usług na cele osobiste podatnika lub jego pracowników, w tym byłych pracowników, wspólników, udziałowców, akcjonariuszy, członków spółdzielni i ich domowników, członków organów stanowiących osób prawnych, członków stowarzyszenia, oraz wszelkie inne nieodpłatne świadczenie usług do celów innych niż działalność gospodarcza podatnika.</w:t>
      </w:r>
    </w:p>
    <w:p w:rsidR="004E59F4" w:rsidRDefault="00273D75">
      <w:pPr>
        <w:spacing w:line="300" w:lineRule="auto"/>
        <w:jc w:val="both"/>
      </w:pPr>
      <w:r>
        <w:rPr>
          <w:color w:val="000000"/>
          <w:sz w:val="24"/>
          <w:szCs w:val="24"/>
        </w:rPr>
        <w:lastRenderedPageBreak/>
        <w:t>Mając na uwadze status prawny JST, jak i zakres ich zadań własnych, opowiedzieć należy się zatem za tym, iż nie mamy tu do czynienia ze świadczeniem „do celów innych niż działalność gospodarcza podatnika”. Przykładowo bowiem, w interpretacji DKIS z 10.05.2019 r. (0114-KDIP4.4012.162.2019.2.EK) czytamy, iż „nieodpłatne wykorzystanie nieruchomości bądź części nieruchomości odbywa się w związku z wykonywaniem przez Miasto zadań publicznych we własnym imieniu i na własną odpowiedzialność (...) nieodpłatne użyczenie nieruchomości bądź jej części nie podlega opodatkowaniu podatkiem od towarów i usług.”</w:t>
      </w:r>
    </w:p>
    <w:p w:rsidR="004E59F4" w:rsidRDefault="004E59F4">
      <w:pPr>
        <w:spacing w:line="300" w:lineRule="auto"/>
        <w:jc w:val="both"/>
        <w:rPr>
          <w:color w:val="000000"/>
          <w:sz w:val="24"/>
          <w:szCs w:val="24"/>
        </w:rPr>
      </w:pPr>
    </w:p>
    <w:p w:rsidR="004E59F4" w:rsidRDefault="00273D75">
      <w:pPr>
        <w:spacing w:line="300" w:lineRule="auto"/>
        <w:jc w:val="both"/>
      </w:pPr>
      <w:r>
        <w:rPr>
          <w:color w:val="000000"/>
          <w:sz w:val="24"/>
          <w:szCs w:val="24"/>
        </w:rPr>
        <w:t xml:space="preserve">Z kolei, </w:t>
      </w:r>
      <w:r>
        <w:rPr>
          <w:b/>
          <w:bCs/>
          <w:color w:val="000000"/>
          <w:sz w:val="24"/>
          <w:szCs w:val="24"/>
        </w:rPr>
        <w:t>w przypadku zlecenia przez JST świadczenia usług spółce komunalnej (SK), czy też powierzenia takiej spółce realizacji zadania własnego JST w zakresie transportu</w:t>
      </w:r>
      <w:r>
        <w:rPr>
          <w:color w:val="000000"/>
          <w:sz w:val="24"/>
          <w:szCs w:val="24"/>
        </w:rPr>
        <w:t>, w pierwszej kolejności należałoby podnieść wątpliwości dotyczące wskazania podmiotu, który – w zależności od przyjętego wariantu – miałyby świadczyć usługi podlegające VAT, jak też beneficjenta(ów) usług(i), tj.</w:t>
      </w:r>
    </w:p>
    <w:p w:rsidR="004E59F4" w:rsidRDefault="00273D75">
      <w:pPr>
        <w:spacing w:line="300" w:lineRule="auto"/>
        <w:jc w:val="both"/>
      </w:pPr>
      <w:r>
        <w:rPr>
          <w:color w:val="000000"/>
          <w:sz w:val="24"/>
          <w:szCs w:val="24"/>
        </w:rPr>
        <w:t>- czy w wariancie tym usługi podlegające VAT świadczone są tylko przez SK na rzecz pasażerów,</w:t>
      </w:r>
    </w:p>
    <w:p w:rsidR="004E59F4" w:rsidRDefault="00273D75">
      <w:pPr>
        <w:spacing w:line="300" w:lineRule="auto"/>
        <w:jc w:val="both"/>
      </w:pPr>
      <w:r>
        <w:rPr>
          <w:color w:val="000000"/>
          <w:sz w:val="24"/>
          <w:szCs w:val="24"/>
        </w:rPr>
        <w:t>- czy też usługi podlegające VAT świadczone są przez SK na rzecz JST oraz przez JST na rzecz pasażerów,</w:t>
      </w:r>
    </w:p>
    <w:p w:rsidR="004E59F4" w:rsidRDefault="00273D75">
      <w:pPr>
        <w:spacing w:line="300" w:lineRule="auto"/>
        <w:jc w:val="both"/>
      </w:pPr>
      <w:r>
        <w:rPr>
          <w:color w:val="000000"/>
          <w:sz w:val="24"/>
          <w:szCs w:val="24"/>
        </w:rPr>
        <w:t>- czy też jednak usługi podlegające VAT świadczone są przez SK na rzecz JST oraz przez SK na rzecz pasażerów.</w:t>
      </w:r>
    </w:p>
    <w:p w:rsidR="004E59F4" w:rsidRDefault="004E59F4">
      <w:pPr>
        <w:spacing w:line="300" w:lineRule="auto"/>
        <w:jc w:val="both"/>
        <w:rPr>
          <w:color w:val="000000"/>
          <w:sz w:val="24"/>
          <w:szCs w:val="24"/>
        </w:rPr>
      </w:pPr>
    </w:p>
    <w:p w:rsidR="004E59F4" w:rsidRDefault="00273D75">
      <w:pPr>
        <w:spacing w:line="300" w:lineRule="auto"/>
        <w:jc w:val="both"/>
      </w:pPr>
      <w:r>
        <w:rPr>
          <w:color w:val="000000"/>
          <w:sz w:val="24"/>
          <w:szCs w:val="24"/>
        </w:rPr>
        <w:t>W tym kontekście powołać można m.in. wyrok NSA z 20.02.2020 r. (sygn. akt I FSK 1657/17). W sprawie tej gminy powierzyły innej gminie (przejmującej) realizację ich zadań własnych w zakresie gospodarowania odpadami, a z kolei gmina przejmująca zawarła ze swoją spółką komunalną umowę wykonawczą, której przedmiotem miało być gospodarowanie tymi odpadami. NSA uznał ostatecznie, iż to gmina powierzająca winna być uznana za bezpośredniego i rzeczywistego nabywcę usług, które będzie wykonywał skarżący, skoro to ta gmina, a nie gmina przejmująca, faktycznie uczestniczy w zdarzeniu gospodarczym, dąży do nabycia usługi, uczestniczy w jej realizacji i w końcu dokonuje zań zapłaty. Uznano zatem, iż spółka komunalna nie wykonuje usługi podlegającej VAT na rzecz gminy, która bezpośrednio zleciła (powierzyła) jej określone czynności.</w:t>
      </w:r>
    </w:p>
    <w:p w:rsidR="004E59F4" w:rsidRDefault="004E59F4">
      <w:pPr>
        <w:spacing w:line="300" w:lineRule="auto"/>
        <w:jc w:val="both"/>
        <w:rPr>
          <w:color w:val="000000"/>
          <w:sz w:val="24"/>
          <w:szCs w:val="24"/>
        </w:rPr>
      </w:pPr>
    </w:p>
    <w:p w:rsidR="004E59F4" w:rsidRDefault="00273D75">
      <w:pPr>
        <w:spacing w:line="300" w:lineRule="auto"/>
        <w:jc w:val="both"/>
      </w:pPr>
      <w:r>
        <w:rPr>
          <w:color w:val="000000"/>
          <w:sz w:val="24"/>
          <w:szCs w:val="24"/>
        </w:rPr>
        <w:t xml:space="preserve">Przytoczyć można by także interpretację DKIS z 24.04.2020r. (0112-KDIL3.4012.48.2020.3.MŁ), w której organ uznał, iż firma przewozowa realizująca na zlecenie gminy przewóz uczniów, dokonuje świadczenia usług podlegających VAT na rzecz tejże gminy, a nie na rzecz uczniów (pasażerów). Rozstrzygnięcie to oparto głównie na tym, iż zleceniodawcą świadczonych przez </w:t>
      </w:r>
      <w:r>
        <w:rPr>
          <w:color w:val="000000"/>
          <w:sz w:val="24"/>
          <w:szCs w:val="24"/>
        </w:rPr>
        <w:lastRenderedPageBreak/>
        <w:t>firmę usług w przedmiotowej sprawie była gmina (posiadająca ustawowy obowiązek zapewnienia przewozów uczniów do placówek oświatowych), a nie np. rodzice dzieci.</w:t>
      </w:r>
    </w:p>
    <w:p w:rsidR="004E59F4" w:rsidRDefault="004E59F4">
      <w:pPr>
        <w:spacing w:line="300" w:lineRule="auto"/>
        <w:jc w:val="both"/>
        <w:rPr>
          <w:color w:val="000000"/>
          <w:sz w:val="24"/>
          <w:szCs w:val="24"/>
        </w:rPr>
      </w:pPr>
    </w:p>
    <w:p w:rsidR="004E59F4" w:rsidRDefault="00273D75">
      <w:pPr>
        <w:spacing w:line="300" w:lineRule="auto"/>
        <w:jc w:val="both"/>
      </w:pPr>
      <w:r>
        <w:rPr>
          <w:color w:val="000000"/>
          <w:sz w:val="24"/>
          <w:szCs w:val="24"/>
        </w:rPr>
        <w:t>Odnosząc powyższe do analizowanej sytuacji, zasadniczo uznać zatem należałoby, iż jeśli w przypadku zlecenia/powierzenia SK realizacji usługi transportowej, samą JST nie łączyłby już z pasażerem żaden stosunek zobowiązaniowy, to usługę na rzecz pasażera świadczyć będzie właśnie SK. Przy czym, jeśli SK będzie pobierała odpłatność od pasażera, to:</w:t>
      </w:r>
    </w:p>
    <w:p w:rsidR="004E59F4" w:rsidRDefault="00273D75">
      <w:pPr>
        <w:spacing w:line="300" w:lineRule="auto"/>
        <w:jc w:val="both"/>
      </w:pPr>
      <w:r>
        <w:rPr>
          <w:color w:val="000000"/>
          <w:sz w:val="24"/>
          <w:szCs w:val="24"/>
        </w:rPr>
        <w:t>- jeżeli SK nie będzie zarejestrowana jako czynny podatnik VAT i spełni warunki z art. 113 ust. 1 ustawy o VAT, to może skorzystać ze zwolnienia z opodatkowania,</w:t>
      </w:r>
    </w:p>
    <w:p w:rsidR="004E59F4" w:rsidRDefault="00273D75">
      <w:pPr>
        <w:spacing w:line="300" w:lineRule="auto"/>
        <w:jc w:val="both"/>
      </w:pPr>
      <w:r>
        <w:rPr>
          <w:color w:val="000000"/>
          <w:sz w:val="24"/>
          <w:szCs w:val="24"/>
        </w:rPr>
        <w:t>- w przeciwnym wypadku usługa taka będzie opodatkowana wg stawki 8%,</w:t>
      </w:r>
    </w:p>
    <w:p w:rsidR="004E59F4" w:rsidRDefault="00273D75">
      <w:pPr>
        <w:spacing w:line="300" w:lineRule="auto"/>
        <w:jc w:val="both"/>
      </w:pPr>
      <w:r>
        <w:rPr>
          <w:color w:val="000000"/>
          <w:sz w:val="24"/>
          <w:szCs w:val="24"/>
        </w:rPr>
        <w:t>Z kolei, w przypadku braku odpłatności ze strony pasażera, SK nie świadczyłaby usługi podlegającej VAT na jego rzecz.</w:t>
      </w:r>
    </w:p>
    <w:p w:rsidR="004E59F4" w:rsidRDefault="00273D75">
      <w:pPr>
        <w:spacing w:line="300" w:lineRule="auto"/>
        <w:jc w:val="both"/>
      </w:pPr>
      <w:r>
        <w:rPr>
          <w:color w:val="000000"/>
          <w:sz w:val="24"/>
          <w:szCs w:val="24"/>
        </w:rPr>
        <w:t>W powyższym zakresie za element stanu faktycznego/prawnego przyjęto, iż spółkę komunalną należy traktować jako jednostkę odrębną od gminy, posiadającą osobowość prawną. Niezależnie od powyższego, można by także powołać orzeczenia wskazujące na to, że spółkę komunalną (przy spełnieniu określonych warunków) można uznać za "organ władzy publicznej", który także (podobnie jak sama JST) może korzystać z wyłączenia z grona podatników na podstawie art. 15 ust. 6 ustawy o VAT (por. m.in. wyrok NSA z 16.07.2019 r., sygn. akt I FSK 587/17), jeśli działa w zakresie zadań organu władzy publicznej i czyni to we właściwym dla niego reżimie. W naszej ocenie, w analizowanej sytuacji, należałoby jednak wykluczyć możliwość stosowania tej regulacji do spółki komunalnej, tj. nie mogłaby ona powoływać się na to, iż w zakresie działalności transportowej nie działa jako podatnik VAT z uwagi na wyłączenie zawarte w ww. regulacji.</w:t>
      </w:r>
    </w:p>
    <w:p w:rsidR="004E59F4" w:rsidRDefault="004E59F4">
      <w:pPr>
        <w:spacing w:line="300" w:lineRule="auto"/>
        <w:jc w:val="both"/>
        <w:rPr>
          <w:color w:val="000000"/>
          <w:sz w:val="24"/>
          <w:szCs w:val="24"/>
        </w:rPr>
      </w:pPr>
    </w:p>
    <w:p w:rsidR="004E59F4" w:rsidRDefault="00273D75">
      <w:pPr>
        <w:spacing w:line="300" w:lineRule="auto"/>
        <w:jc w:val="both"/>
      </w:pPr>
      <w:bookmarkStart w:id="13" w:name="__DdeLink__20217_781492946"/>
      <w:r>
        <w:rPr>
          <w:color w:val="000000"/>
          <w:sz w:val="24"/>
          <w:szCs w:val="24"/>
        </w:rPr>
        <w:t>Przy czym, rozstrzygnięcie w danej sytuacji co do wskazania podmiotów świadczących usługi podlegające VAT, zależeć będzie jednak od sposobu zorganizowania przez JST działalności transportowej i ukształtowania wzajemnych stosunków pomiędzy JST a SK, jak i pasażerem, w tym od tego, kto będzie uzyskiwał wpływy ze sprzedaży biletów / poboru opłat za przejazd.</w:t>
      </w:r>
      <w:bookmarkEnd w:id="13"/>
    </w:p>
    <w:p w:rsidR="004E59F4" w:rsidRDefault="004E59F4">
      <w:pPr>
        <w:spacing w:line="300" w:lineRule="auto"/>
        <w:jc w:val="both"/>
        <w:rPr>
          <w:color w:val="000000"/>
          <w:sz w:val="24"/>
          <w:szCs w:val="24"/>
        </w:rPr>
      </w:pPr>
    </w:p>
    <w:p w:rsidR="004E59F4" w:rsidRDefault="00273D75">
      <w:pPr>
        <w:spacing w:line="300" w:lineRule="auto"/>
        <w:jc w:val="both"/>
      </w:pPr>
      <w:r>
        <w:rPr>
          <w:color w:val="000000"/>
          <w:sz w:val="24"/>
          <w:szCs w:val="24"/>
        </w:rPr>
        <w:t>Analizując istniejące obecnie sposoby zorganizowania transportu zbiorowego w JST, jak też orzeczenia oraz interpretacje wskazujące na ich ujęcie dla celów VAT, zauważyć należy, iż w przypadku powierzenia spółce komunalnej przez JST zadania własnego w zakresie transportu zbiorowego i:</w:t>
      </w:r>
    </w:p>
    <w:p w:rsidR="004E59F4" w:rsidRDefault="00273D75">
      <w:pPr>
        <w:spacing w:line="300" w:lineRule="auto"/>
        <w:jc w:val="both"/>
      </w:pPr>
      <w:r>
        <w:rPr>
          <w:color w:val="000000"/>
          <w:sz w:val="24"/>
          <w:szCs w:val="24"/>
        </w:rPr>
        <w:t xml:space="preserve">- wypłaty z tego tytułu na rzecz SK </w:t>
      </w:r>
      <w:r>
        <w:rPr>
          <w:b/>
          <w:bCs/>
          <w:color w:val="000000"/>
          <w:sz w:val="24"/>
          <w:szCs w:val="24"/>
        </w:rPr>
        <w:t xml:space="preserve">rekompensaty </w:t>
      </w:r>
      <w:r>
        <w:rPr>
          <w:color w:val="000000"/>
          <w:sz w:val="24"/>
          <w:szCs w:val="24"/>
        </w:rPr>
        <w:t xml:space="preserve">przyznawanej w oparciu o rozporządzenie 1370/2007 (tj. </w:t>
      </w:r>
      <w:r>
        <w:rPr>
          <w:i/>
          <w:iCs/>
          <w:color w:val="000000"/>
          <w:sz w:val="24"/>
          <w:szCs w:val="24"/>
        </w:rPr>
        <w:t xml:space="preserve">„każda korzyść, zwłaszcza finansowa, przyznana bezpośrednio lub pośrednio </w:t>
      </w:r>
      <w:r>
        <w:rPr>
          <w:i/>
          <w:iCs/>
          <w:color w:val="000000"/>
          <w:sz w:val="24"/>
          <w:szCs w:val="24"/>
        </w:rPr>
        <w:lastRenderedPageBreak/>
        <w:t>przez właściwy organ z funduszy publicznych w okresie realizacji zobowiązania z tytułu świadczenia usług publicznych lub powiązana z tym okresem”</w:t>
      </w:r>
      <w:r>
        <w:rPr>
          <w:color w:val="000000"/>
          <w:sz w:val="24"/>
          <w:szCs w:val="24"/>
        </w:rPr>
        <w:t>),</w:t>
      </w:r>
    </w:p>
    <w:p w:rsidR="004E59F4" w:rsidRDefault="00273D75">
      <w:pPr>
        <w:spacing w:line="300" w:lineRule="auto"/>
        <w:jc w:val="both"/>
      </w:pPr>
      <w:r>
        <w:rPr>
          <w:color w:val="000000"/>
          <w:sz w:val="24"/>
          <w:szCs w:val="24"/>
        </w:rPr>
        <w:t>- przy założeniu, iż wpływy ze sprzedaży biletów uzyskuje  SK,</w:t>
      </w:r>
    </w:p>
    <w:p w:rsidR="004E59F4" w:rsidRDefault="00273D75">
      <w:pPr>
        <w:spacing w:line="300" w:lineRule="auto"/>
        <w:jc w:val="both"/>
      </w:pPr>
      <w:r>
        <w:rPr>
          <w:color w:val="000000"/>
          <w:sz w:val="24"/>
          <w:szCs w:val="24"/>
        </w:rPr>
        <w:t>w orzecznictwie przyjmuje się, iż usługę transportową na rzecz pasażera świadczy tylko SK (i SK nie świadczy w tym przypadku żadnej usługi na rzecz JST), a otrzymana od JST rekompensata nie stanowi elementu podstawy opodatkowania VAT (usługi świadczonej na rzecz pasażera).</w:t>
      </w:r>
    </w:p>
    <w:p w:rsidR="004E59F4" w:rsidRDefault="004E59F4">
      <w:pPr>
        <w:spacing w:line="300" w:lineRule="auto"/>
        <w:jc w:val="both"/>
        <w:rPr>
          <w:color w:val="000000"/>
        </w:rPr>
      </w:pPr>
    </w:p>
    <w:p w:rsidR="004E59F4" w:rsidRDefault="00273D75">
      <w:pPr>
        <w:spacing w:line="300" w:lineRule="auto"/>
        <w:jc w:val="both"/>
      </w:pPr>
      <w:r>
        <w:rPr>
          <w:color w:val="000000"/>
          <w:sz w:val="24"/>
          <w:szCs w:val="24"/>
        </w:rPr>
        <w:t>Na takie podejście wskazują m.in. orzeczenia NSA, w tym wyrok z 07.11.2018 r. (sygn. akt I FSK 1692/16), w którym czytamy, iż:</w:t>
      </w:r>
    </w:p>
    <w:p w:rsidR="004E59F4" w:rsidRDefault="00273D75">
      <w:pPr>
        <w:spacing w:line="300" w:lineRule="auto"/>
        <w:jc w:val="both"/>
      </w:pPr>
      <w:r>
        <w:rPr>
          <w:i/>
          <w:iCs/>
          <w:color w:val="000000"/>
          <w:sz w:val="24"/>
          <w:szCs w:val="24"/>
        </w:rPr>
        <w:t>- „Rekompensaty za świadczone usługi przewozowe w autobusach komunikacji miejskiej, przyznawane operatorom, na podstawie przepisów rozdziału 6 ustawy z dnia 16 grudnia 2010 r. o publicznym transporcie zbiorowym (obecnie Dz. U. z 2017 r. poz. 2136, ze zm.), nie mogą być uznane za dotacje, subwencje i inne dopłaty o podobnym charakterze, zaliczane do podstawy opodatkowania, o której mowa art. 29a ust. 1 ustawy (…) Rekompensaty te nie mają bowiem bezpośredniego wpływu na ceny za usługi świadczone przez tych operatorów.”;</w:t>
      </w:r>
    </w:p>
    <w:p w:rsidR="004E59F4" w:rsidRDefault="00273D75">
      <w:pPr>
        <w:spacing w:line="300" w:lineRule="auto"/>
        <w:jc w:val="both"/>
      </w:pPr>
      <w:r>
        <w:rPr>
          <w:i/>
          <w:iCs/>
          <w:color w:val="000000"/>
          <w:sz w:val="24"/>
          <w:szCs w:val="24"/>
        </w:rPr>
        <w:t xml:space="preserve">- „Natomiast w przypadku, gdy gmina na podstawie aktu prawa miejscowego podejmie decyzję o wprowadzeniu bezpłatnych usług komunikacyjnych na swoim terenie, wówczas rekompensata będzie pokrywała w całości wydatki związane z działalnością spółki komunalnej w tym zakresie. Natomiast do nieodpłatnego świadczenie usług nie będzie miała zastosowania </w:t>
      </w:r>
      <w:proofErr w:type="spellStart"/>
      <w:r>
        <w:rPr>
          <w:i/>
          <w:iCs/>
          <w:color w:val="000000"/>
          <w:sz w:val="24"/>
          <w:szCs w:val="24"/>
        </w:rPr>
        <w:t>u.p.t.u</w:t>
      </w:r>
      <w:proofErr w:type="spellEnd"/>
      <w:r>
        <w:rPr>
          <w:i/>
          <w:iCs/>
          <w:color w:val="000000"/>
          <w:sz w:val="24"/>
          <w:szCs w:val="24"/>
        </w:rPr>
        <w:t xml:space="preserve">. Zgodnie bowiem z art. 5 ust. 1 pkt 1 </w:t>
      </w:r>
      <w:proofErr w:type="spellStart"/>
      <w:r>
        <w:rPr>
          <w:i/>
          <w:iCs/>
          <w:color w:val="000000"/>
          <w:sz w:val="24"/>
          <w:szCs w:val="24"/>
        </w:rPr>
        <w:t>u.p.t.u</w:t>
      </w:r>
      <w:proofErr w:type="spellEnd"/>
      <w:r>
        <w:rPr>
          <w:i/>
          <w:iCs/>
          <w:color w:val="000000"/>
          <w:sz w:val="24"/>
          <w:szCs w:val="24"/>
        </w:rPr>
        <w:t xml:space="preserve">. opodatkowaniu podatkiem od towarów i usług podlega odpłatne świadczenie usług na terenie kraju. W takim przypadku zastosowanie art. 29a ust. 1 </w:t>
      </w:r>
      <w:proofErr w:type="spellStart"/>
      <w:r>
        <w:rPr>
          <w:i/>
          <w:iCs/>
          <w:color w:val="000000"/>
          <w:sz w:val="24"/>
          <w:szCs w:val="24"/>
        </w:rPr>
        <w:t>u.p.t.u</w:t>
      </w:r>
      <w:proofErr w:type="spellEnd"/>
      <w:r>
        <w:rPr>
          <w:i/>
          <w:iCs/>
          <w:color w:val="000000"/>
          <w:sz w:val="24"/>
          <w:szCs w:val="24"/>
        </w:rPr>
        <w:t xml:space="preserve"> w sposób oczywisty nie będzie miało miejsca gdyż usługodawca nie otrzyma zapłaty za świadczoną usługę. Za taką zapłatę nie można bowiem, o czym była wyżej mowa, uznać przyznanej na podstawie przepisów </w:t>
      </w:r>
      <w:proofErr w:type="spellStart"/>
      <w:r>
        <w:rPr>
          <w:i/>
          <w:iCs/>
          <w:color w:val="000000"/>
          <w:sz w:val="24"/>
          <w:szCs w:val="24"/>
        </w:rPr>
        <w:t>u.p.t.z</w:t>
      </w:r>
      <w:proofErr w:type="spellEnd"/>
      <w:r>
        <w:rPr>
          <w:i/>
          <w:iCs/>
          <w:color w:val="000000"/>
          <w:sz w:val="24"/>
          <w:szCs w:val="24"/>
        </w:rPr>
        <w:t>. rekompensaty.”.</w:t>
      </w:r>
    </w:p>
    <w:p w:rsidR="004E59F4" w:rsidRDefault="004E59F4">
      <w:pPr>
        <w:spacing w:line="300" w:lineRule="auto"/>
        <w:jc w:val="both"/>
        <w:rPr>
          <w:rFonts w:ascii="Calibri" w:hAnsi="Calibri"/>
          <w:color w:val="000000"/>
          <w:sz w:val="10"/>
          <w:szCs w:val="10"/>
        </w:rPr>
      </w:pPr>
    </w:p>
    <w:p w:rsidR="004E59F4" w:rsidRDefault="00273D75">
      <w:pPr>
        <w:spacing w:line="300" w:lineRule="auto"/>
        <w:jc w:val="both"/>
      </w:pPr>
      <w:r>
        <w:rPr>
          <w:color w:val="000000"/>
          <w:sz w:val="24"/>
          <w:szCs w:val="24"/>
        </w:rPr>
        <w:t>Podobnie NSA orzekł w wyroku z 30.01.2019 r. sygn. akt I FSK 1673/16.</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pPr>
      <w:r>
        <w:rPr>
          <w:color w:val="000000"/>
          <w:sz w:val="24"/>
          <w:szCs w:val="24"/>
        </w:rPr>
        <w:t>W zakresie opodatkowania dofinansowania usług przewozowych, świadczonych przez różnego rodzaju podmioty w ramach zadań własnych jednostek samorządu terytorialnego powołać można ponadto wyrok NSA z 27.08.2019 r. (sygn. akt. I FSK 1072/17) dotyczący gminy, której inne gminy powierzyły na podstawie porozumienia organizację transportu publicznego, w zamian za co przekazywały jej dotacje (środki). Uznano w nim, iż:</w:t>
      </w:r>
    </w:p>
    <w:p w:rsidR="004E59F4" w:rsidRDefault="00273D75">
      <w:pPr>
        <w:spacing w:line="300" w:lineRule="auto"/>
        <w:jc w:val="both"/>
      </w:pPr>
      <w:r>
        <w:rPr>
          <w:i/>
          <w:iCs/>
          <w:color w:val="000000"/>
          <w:sz w:val="24"/>
          <w:szCs w:val="24"/>
        </w:rPr>
        <w:t xml:space="preserve">- „Jeżeli dofinansowanie związane jest z kosztami funkcjonowania skarżącego w zakresie, w jakim na podstawie porozumienia organizuje on publiczny transport zbiorowy na terenie gminy ościennej, a nie jest ono przeznaczone na sfinansowanie części ustalonej ceny usługi </w:t>
      </w:r>
      <w:r>
        <w:rPr>
          <w:i/>
          <w:iCs/>
          <w:color w:val="000000"/>
          <w:sz w:val="24"/>
          <w:szCs w:val="24"/>
        </w:rPr>
        <w:lastRenderedPageBreak/>
        <w:t xml:space="preserve">przewozowej, to w rezultacie nie powinno być uwzględniane w podstawie opodatkowania, zgodnie z art. 29 ust. 1 </w:t>
      </w:r>
      <w:proofErr w:type="spellStart"/>
      <w:r>
        <w:rPr>
          <w:i/>
          <w:iCs/>
          <w:color w:val="000000"/>
          <w:sz w:val="24"/>
          <w:szCs w:val="24"/>
        </w:rPr>
        <w:t>u.p.t.u</w:t>
      </w:r>
      <w:proofErr w:type="spellEnd"/>
      <w:r>
        <w:rPr>
          <w:i/>
          <w:iCs/>
          <w:color w:val="000000"/>
          <w:sz w:val="24"/>
          <w:szCs w:val="24"/>
        </w:rPr>
        <w:t>.”.</w:t>
      </w:r>
    </w:p>
    <w:p w:rsidR="004E59F4" w:rsidRDefault="00273D75">
      <w:pPr>
        <w:spacing w:line="300" w:lineRule="auto"/>
        <w:jc w:val="both"/>
        <w:rPr>
          <w:i/>
          <w:iCs/>
        </w:rPr>
      </w:pPr>
      <w:r>
        <w:rPr>
          <w:i/>
          <w:iCs/>
          <w:color w:val="000000"/>
          <w:sz w:val="24"/>
          <w:szCs w:val="24"/>
        </w:rPr>
        <w:t>- „Nieuprawnione jest więc twierdzenie WSA, że "W niniejszej sprawie, wpływ na cenę świadczonych usług w komunikacji miejskiej jest oczywisty: ostateczny odbiorca (pasażer komunikacji miejskiej) płaci za usługę częściowo właśnie ze względu na pokrycie jej dofinansowaniem".</w:t>
      </w:r>
    </w:p>
    <w:p w:rsidR="004E59F4" w:rsidRDefault="00273D75">
      <w:pPr>
        <w:spacing w:line="300" w:lineRule="auto"/>
        <w:jc w:val="both"/>
      </w:pPr>
      <w:r>
        <w:rPr>
          <w:i/>
          <w:iCs/>
          <w:color w:val="000000"/>
          <w:sz w:val="24"/>
          <w:szCs w:val="24"/>
        </w:rPr>
        <w:t>- „Możliwość pokrycia części kosztów usług przewozowych poprzez dofinansowanie może pozwalać jednostce samorządowej na generalne ustalenie ceny biletów na niższym poziomie. Jednakże z punktu widzenia Skarżącego, jako podatnika świadczącego te usługi na rzecz obywateli po narzuconej mu cenie, dofinansowanie w żaden sposób na cenę tę nie wpływa - ta bowiem zawsze określana jest przez Radę Miasta O. Z tego punktu widzenia to raczej ustalona cena biletów wpływa na wysokość dofinansowania, jako że wraz w wysokością kosztów ponoszonych przez Skarżącego wyznacza poziom tego dofinansowania.”</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color w:val="000000"/>
          <w:sz w:val="24"/>
          <w:szCs w:val="24"/>
        </w:rPr>
      </w:pPr>
      <w:r>
        <w:rPr>
          <w:color w:val="000000"/>
          <w:sz w:val="24"/>
          <w:szCs w:val="24"/>
        </w:rPr>
        <w:t>Jednak jeżeli JST/spółka komunalna zdecydowałaby się na takie podejście, to powinno to zostać poprzedzone otrzymaniem interpretacji indywidualnej, bowiem istnieje ryzyko zakwestionowania takiego sposobu rozliczenia.</w:t>
      </w:r>
    </w:p>
    <w:p w:rsidR="004E59F4" w:rsidRDefault="00273D75">
      <w:pPr>
        <w:spacing w:line="300" w:lineRule="auto"/>
        <w:jc w:val="both"/>
      </w:pPr>
      <w:r>
        <w:rPr>
          <w:color w:val="000000"/>
          <w:sz w:val="24"/>
          <w:szCs w:val="24"/>
        </w:rPr>
        <w:t xml:space="preserve">Wskazać należy bowiem, iż ostatnio linia interpretacyjna DKIS jest w tym zakresie niekorzystna. Przykładowo, w interpretacji DKIS z 30.04.2019 r., 0111-KDIB3-1.4012.63.2019.2.RSZ, wskazano, iż: </w:t>
      </w:r>
      <w:r>
        <w:rPr>
          <w:i/>
          <w:iCs/>
          <w:color w:val="000000"/>
          <w:sz w:val="24"/>
          <w:szCs w:val="24"/>
        </w:rPr>
        <w:t>„z ekonomicznego punktu widzenia Wnioskodawca nie byłby w stanie świadczyć usług transportu miejskiego w narzucanych mu cenach, gdyby nie otrzymywana rekompensata. Otrzymywana kwota rekompensaty ma zatem bezpośredni wpływ na cenę usług świadczonych przez Wnioskodawcę i na podstawie art. 29a ust. 1 ustawy, stanowi podstawę opodatkowania podatkiem VAT. Zapłatą za świadczone przez Wnioskodawcę usługi jest bowiem nie tylko zapłata za bilety ale również otrzymywana rekompensata, stanowiąca dopłatę do ceny usług świadczonych przez Wnioskodawcę.”</w:t>
      </w:r>
    </w:p>
    <w:p w:rsidR="004E59F4" w:rsidRDefault="00273D75">
      <w:pPr>
        <w:spacing w:line="300" w:lineRule="auto"/>
        <w:jc w:val="both"/>
      </w:pPr>
      <w:r>
        <w:rPr>
          <w:color w:val="000000"/>
          <w:sz w:val="24"/>
          <w:szCs w:val="24"/>
        </w:rPr>
        <w:t>Podobnie m.in. w interpretacjach z:</w:t>
      </w:r>
    </w:p>
    <w:p w:rsidR="004E59F4" w:rsidRDefault="00273D75">
      <w:pPr>
        <w:spacing w:line="300" w:lineRule="auto"/>
        <w:jc w:val="both"/>
      </w:pPr>
      <w:r>
        <w:rPr>
          <w:color w:val="000000"/>
          <w:sz w:val="24"/>
          <w:szCs w:val="24"/>
        </w:rPr>
        <w:t xml:space="preserve">-  04.06.2019 r., 0114-KDIP4.4012.229.2019.1.RK: </w:t>
      </w:r>
      <w:r>
        <w:rPr>
          <w:i/>
          <w:iCs/>
          <w:color w:val="000000"/>
          <w:sz w:val="24"/>
          <w:szCs w:val="24"/>
        </w:rPr>
        <w:t>„Otrzymywana kwota rekompensaty ma zatem bezpośredni wpływ na cenę usług świadczonych przez Wnioskodawcę, gdyż dzięki rekompensacie Wnioskodawca świadczy nieodpłatnie usługi przewozu osób.”;</w:t>
      </w:r>
    </w:p>
    <w:p w:rsidR="004E59F4" w:rsidRDefault="00273D75">
      <w:pPr>
        <w:spacing w:line="300" w:lineRule="auto"/>
        <w:jc w:val="both"/>
      </w:pPr>
      <w:r>
        <w:rPr>
          <w:color w:val="000000"/>
          <w:sz w:val="24"/>
          <w:szCs w:val="24"/>
        </w:rPr>
        <w:t xml:space="preserve">- 13.03.2020 r., 0111-KDIB3-2.4012.9.2020.1.SR: </w:t>
      </w:r>
      <w:r>
        <w:rPr>
          <w:i/>
          <w:iCs/>
          <w:color w:val="000000"/>
          <w:sz w:val="24"/>
          <w:szCs w:val="24"/>
        </w:rPr>
        <w:t xml:space="preserve">„wartość rekompensaty, którą Spółka otrzymuje/będzie otrzymywać od Gminy z tytułu wykonywania zadań własnych Gminy w zakresie publicznego transportu zbiorowego stanowi/będzie stanowić podstawę opodatkowania w rozumieniu art. 29a ust. 1 ustawy o VAT (…) Zapłatą za świadczone przez </w:t>
      </w:r>
      <w:r>
        <w:rPr>
          <w:i/>
          <w:iCs/>
          <w:color w:val="000000"/>
          <w:sz w:val="24"/>
          <w:szCs w:val="24"/>
        </w:rPr>
        <w:lastRenderedPageBreak/>
        <w:t>Wnioskodawcę usługi jest bowiem nie tylko wnoszona przez pasażera zapłata za bilety, ale również otrzymywana od Gminy rekompensata...”;</w:t>
      </w:r>
    </w:p>
    <w:p w:rsidR="004E59F4" w:rsidRDefault="00273D75">
      <w:pPr>
        <w:spacing w:line="300" w:lineRule="auto"/>
        <w:jc w:val="both"/>
      </w:pPr>
      <w:r>
        <w:rPr>
          <w:color w:val="000000"/>
          <w:sz w:val="24"/>
          <w:szCs w:val="24"/>
        </w:rPr>
        <w:t>- 21.11.2019 r., 0112-KDIL2-3.4012.567.2019.1.EW.</w:t>
      </w:r>
    </w:p>
    <w:p w:rsidR="004E59F4" w:rsidRDefault="004E59F4">
      <w:pPr>
        <w:spacing w:line="300" w:lineRule="auto"/>
        <w:jc w:val="both"/>
        <w:rPr>
          <w:color w:val="000000"/>
          <w:sz w:val="24"/>
          <w:szCs w:val="24"/>
        </w:rPr>
      </w:pPr>
    </w:p>
    <w:p w:rsidR="004E59F4" w:rsidRDefault="00273D75">
      <w:pPr>
        <w:spacing w:line="300" w:lineRule="auto"/>
        <w:jc w:val="both"/>
      </w:pPr>
      <w:r>
        <w:rPr>
          <w:color w:val="000000"/>
          <w:sz w:val="24"/>
          <w:szCs w:val="24"/>
        </w:rPr>
        <w:t xml:space="preserve">Z kolei, </w:t>
      </w:r>
      <w:r>
        <w:rPr>
          <w:b/>
          <w:bCs/>
          <w:color w:val="000000"/>
          <w:sz w:val="24"/>
          <w:szCs w:val="24"/>
        </w:rPr>
        <w:t xml:space="preserve">w interpretacji z 25.02.2020 r. </w:t>
      </w:r>
      <w:r>
        <w:rPr>
          <w:color w:val="000000"/>
          <w:sz w:val="24"/>
          <w:szCs w:val="24"/>
        </w:rPr>
        <w:t>(0112-KDIL3.4012.102.2019.2.WB)</w:t>
      </w:r>
      <w:r>
        <w:rPr>
          <w:b/>
          <w:bCs/>
          <w:color w:val="000000"/>
          <w:sz w:val="24"/>
          <w:szCs w:val="24"/>
        </w:rPr>
        <w:t xml:space="preserve"> uznano, iż spółka otrzymująca taką rekompensatę świadczy usługę na rzecz gminy powierzającej jej zadanie własne w zakresie transportu zbiorowego</w:t>
      </w:r>
      <w:r>
        <w:rPr>
          <w:color w:val="000000"/>
          <w:sz w:val="24"/>
          <w:szCs w:val="24"/>
        </w:rPr>
        <w:t xml:space="preserve">. Rekompensata nie miałaby zatem powiększać podstawy opodatkowania usług świadczonych na rzecz pasażerów (jako dotacja, o której mowa w art. 29a ust. 1 ustawy o VAT), ale stanowiłaby zatem wynagrodzenie (podstawę opodatkowania) z tytułu usługi świadczonej na rzecz gminy. Czytamy tam bowiem, że </w:t>
      </w:r>
      <w:r>
        <w:rPr>
          <w:i/>
          <w:iCs/>
          <w:color w:val="000000"/>
          <w:sz w:val="24"/>
          <w:szCs w:val="24"/>
        </w:rPr>
        <w:t>„mamy do czynienia z sytuacją w której Gmina powierza Spółce prawa handlowego świadczenie usług w zakresie lokalnego transportu zbiorowego, za co Spółka otrzymuje od gminy stosowną rekompensatę (zgodnie z Rozporządzeniem (WE) Nr 1370/2007 Parlamentu Europejskiego i Rady z dnia 23 października 2007 r.). W takiej sytuacji mamy zatem do czynienia z istnieniem dwustronnego stosunku zobowiązaniowego, zakładającego istnienie podmiotu zlecającego wykonanie usługi, będącego jednocześnie odbiorcą usługi (Gmina), jak również podmiotu wykonującego zlecenie - świadczącego usługę przewozu pasażerów komunikacją miejską (podmiot gospodarczy posiadający odrębność prawno-podatkową od gminy) - w analizowanym przypadku Spółka. (...) Gmina, jako podmiot zobowiązany na podstawie ww. przepisów do zapewnienia lokalnego transportu zbiorowego, jest de facto stroną na rzecz której Spółka świadczy usługi lokalnego transportu zbiorowego w zamian za wynagrodzenie w postaci rekompensat. Przy czym to, że zadania własne Gminy z zakresu lokalnego transportu zbiorowego nakładane są na Spółkę w trybie władczym na podstawie uchwały Rady Miejskiej nie ma znaczenia dla uznania, iż pomiędzy Gminą a Spółką dochodzi do wykonywania czynności opodatkowanych podatkiem od towarów i usług albowiem stosownie do art. 5 ust. 1 pkt 1 w zw. z art. 8 ust. 1 pkt 3 ustawy, opodatkowaniu podlega także świadczenie usług zgodnie z nakazem organu władzy publicznej lub podmiotu działającego w jego imieniu lub nakazem wynikającym z mocy prawa”.</w:t>
      </w:r>
    </w:p>
    <w:p w:rsidR="004E59F4" w:rsidRDefault="004E59F4">
      <w:pPr>
        <w:spacing w:line="300" w:lineRule="auto"/>
        <w:jc w:val="both"/>
        <w:rPr>
          <w:i/>
          <w:iCs/>
          <w:color w:val="000000"/>
          <w:sz w:val="24"/>
          <w:szCs w:val="24"/>
        </w:rPr>
      </w:pPr>
    </w:p>
    <w:p w:rsidR="004E59F4" w:rsidRDefault="00273D75">
      <w:pPr>
        <w:spacing w:line="300" w:lineRule="auto"/>
        <w:jc w:val="both"/>
      </w:pPr>
      <w:r w:rsidRPr="0035535A">
        <w:rPr>
          <w:color w:val="000000"/>
          <w:sz w:val="24"/>
          <w:szCs w:val="24"/>
        </w:rPr>
        <w:t xml:space="preserve">Mając </w:t>
      </w:r>
      <w:r>
        <w:rPr>
          <w:color w:val="000000"/>
          <w:sz w:val="24"/>
          <w:szCs w:val="24"/>
        </w:rPr>
        <w:t>zatem na uwadze bieżącą linię interpretacyjną DKIS,</w:t>
      </w:r>
      <w:r>
        <w:rPr>
          <w:b/>
          <w:bCs/>
          <w:color w:val="000000"/>
          <w:sz w:val="24"/>
          <w:szCs w:val="24"/>
        </w:rPr>
        <w:t xml:space="preserve"> istnieje duże ryzyko zakwestionowania przedstawionego powyżej podejścia co do opodatkowania VAT usług świadczonych przez JST (SK) i z tego też względu – w naszej ocenie – JST, która przyjęłaby ww. podejście, powinna potwierdzić to interpretacją DKIS.</w:t>
      </w:r>
    </w:p>
    <w:p w:rsidR="004E59F4" w:rsidRDefault="00273D75">
      <w:pPr>
        <w:spacing w:line="300" w:lineRule="auto"/>
        <w:jc w:val="both"/>
        <w:rPr>
          <w:b/>
          <w:bCs/>
        </w:rPr>
      </w:pPr>
      <w:r>
        <w:rPr>
          <w:b/>
          <w:bCs/>
          <w:color w:val="000000"/>
          <w:sz w:val="24"/>
          <w:szCs w:val="24"/>
        </w:rPr>
        <w:t>W przeciwnym wypadku, należałoby przyjąć, iż JST (SK) świadczy usługę podlegającą VAT także w przypadku braku odpłatności ze strony pasażera.</w:t>
      </w:r>
    </w:p>
    <w:p w:rsidR="004E59F4" w:rsidRDefault="00273D75">
      <w:pPr>
        <w:spacing w:line="300" w:lineRule="auto"/>
        <w:jc w:val="both"/>
      </w:pPr>
      <w:r>
        <w:rPr>
          <w:color w:val="000000"/>
          <w:sz w:val="24"/>
          <w:szCs w:val="24"/>
        </w:rPr>
        <w:lastRenderedPageBreak/>
        <w:t>Mając na uwadze przywołane w niniejszej ekspertyzie interpretacje DKIS, uważamy, iż</w:t>
      </w:r>
      <w:r>
        <w:rPr>
          <w:b/>
          <w:bCs/>
          <w:color w:val="000000"/>
          <w:sz w:val="24"/>
          <w:szCs w:val="24"/>
        </w:rPr>
        <w:t xml:space="preserve"> w ramach tej interpretacji potwierdzić należy także i to, czy w ww. modelu przy zleceniu/powierzeniu usług, SK nie świadczy jednak usług na rzecz JST. </w:t>
      </w:r>
    </w:p>
    <w:p w:rsidR="004E59F4" w:rsidRDefault="004E59F4">
      <w:pPr>
        <w:spacing w:line="300" w:lineRule="auto"/>
        <w:jc w:val="both"/>
        <w:rPr>
          <w:b/>
          <w:bCs/>
          <w:sz w:val="12"/>
          <w:szCs w:val="12"/>
        </w:rPr>
      </w:pPr>
    </w:p>
    <w:p w:rsidR="004E59F4" w:rsidRDefault="00273D75">
      <w:pPr>
        <w:spacing w:line="300" w:lineRule="auto"/>
        <w:jc w:val="both"/>
        <w:rPr>
          <w:b/>
          <w:bCs/>
        </w:rPr>
      </w:pPr>
      <w:r>
        <w:rPr>
          <w:b/>
          <w:bCs/>
          <w:color w:val="000000"/>
          <w:sz w:val="24"/>
          <w:szCs w:val="24"/>
        </w:rPr>
        <w:t xml:space="preserve">W szczególności bowiem, powyższe podejście co do braku opodatkowania VAT przypadku nieodpłatnego świadczenia usługi przez JST opiera się na założeniu, iż otrzymana dotacja nie stanowi swoistej „odpłatności” za tę usługę. </w:t>
      </w:r>
    </w:p>
    <w:p w:rsidR="004E59F4" w:rsidRDefault="00273D75">
      <w:pPr>
        <w:spacing w:line="300" w:lineRule="auto"/>
        <w:jc w:val="both"/>
      </w:pPr>
      <w:r>
        <w:rPr>
          <w:color w:val="000000"/>
          <w:sz w:val="24"/>
          <w:szCs w:val="24"/>
        </w:rPr>
        <w:t>Ponadto, wskazać należy na różne sposoby organizacji transportu publicznego w poszczególnych JST. Wskazane powyżej rozliczenie opiera się na założeniu, iż JST zleca/powierza prowadzenie tego zadania w zamian za rekompensatę. Spotykana jest jednak i taka organizacja transportu publicznego, gdzie JST powierza SK realizację transportu zbiorowego, ale:</w:t>
      </w:r>
    </w:p>
    <w:p w:rsidR="004E59F4" w:rsidRDefault="00273D75">
      <w:pPr>
        <w:spacing w:line="300" w:lineRule="auto"/>
        <w:jc w:val="both"/>
        <w:rPr>
          <w:rFonts w:ascii="Calibri" w:hAnsi="Calibri"/>
          <w:color w:val="000000"/>
          <w:sz w:val="24"/>
          <w:szCs w:val="24"/>
        </w:rPr>
      </w:pPr>
      <w:r>
        <w:rPr>
          <w:color w:val="000000"/>
          <w:sz w:val="24"/>
          <w:szCs w:val="24"/>
        </w:rPr>
        <w:t>- JST (jej jednostka organizacyjna) sprzedaje bilety i wykazuje z tego tytułu VAT (8%),</w:t>
      </w:r>
    </w:p>
    <w:p w:rsidR="004E59F4" w:rsidRDefault="00273D75">
      <w:pPr>
        <w:spacing w:line="300" w:lineRule="auto"/>
        <w:jc w:val="both"/>
      </w:pPr>
      <w:r>
        <w:rPr>
          <w:color w:val="000000"/>
          <w:sz w:val="24"/>
          <w:szCs w:val="24"/>
        </w:rPr>
        <w:t>- SK otrzymuje od JST rekompensatę i wystawia na JST fakturą (z 8% VAT),</w:t>
      </w:r>
    </w:p>
    <w:p w:rsidR="004E59F4" w:rsidRDefault="00273D75">
      <w:pPr>
        <w:spacing w:line="300" w:lineRule="auto"/>
        <w:jc w:val="both"/>
      </w:pPr>
      <w:r>
        <w:rPr>
          <w:color w:val="000000"/>
          <w:sz w:val="24"/>
          <w:szCs w:val="24"/>
        </w:rPr>
        <w:t>- JST odlicza VAT z faktury wystawionej przez SK.</w:t>
      </w:r>
    </w:p>
    <w:p w:rsidR="004E59F4" w:rsidRDefault="004E59F4">
      <w:pPr>
        <w:spacing w:line="300" w:lineRule="auto"/>
        <w:jc w:val="both"/>
        <w:rPr>
          <w:color w:val="000000"/>
        </w:rPr>
      </w:pPr>
    </w:p>
    <w:p w:rsidR="004E59F4" w:rsidRDefault="00273D75">
      <w:pPr>
        <w:spacing w:line="300" w:lineRule="auto"/>
        <w:jc w:val="both"/>
      </w:pPr>
      <w:r>
        <w:rPr>
          <w:color w:val="000000"/>
          <w:sz w:val="24"/>
          <w:szCs w:val="24"/>
        </w:rPr>
        <w:t>Potwierdzenie prawidłowości takiego ujęcia można odnaleźć m.in. w interpretacji DKIS z 30.01.2020 r., 0114-KDIP4-2.4012.44.2019.1.MC (</w:t>
      </w:r>
      <w:r>
        <w:rPr>
          <w:i/>
          <w:iCs/>
          <w:color w:val="000000"/>
          <w:sz w:val="24"/>
          <w:szCs w:val="24"/>
        </w:rPr>
        <w:t>„Rekompensata otrzymana przez Wnioskodawcę z tytułu świadczonych usług komunikacji miejskiej stanowi zatem podstawę opodatkowania w rozumieniu art. 29a ust. 1 ustawy (…) stanowi zapłatę za usługę komunikacji miejskiej świadczoną na rzecz Miasta”</w:t>
      </w:r>
      <w:r>
        <w:rPr>
          <w:color w:val="000000"/>
          <w:sz w:val="24"/>
          <w:szCs w:val="24"/>
        </w:rPr>
        <w:t>) oraz z 20.09.2017r., 0112-KDIL1-1.4012.284.2017.1.SJ.</w:t>
      </w:r>
    </w:p>
    <w:p w:rsidR="004E59F4" w:rsidRDefault="00273D75">
      <w:pPr>
        <w:spacing w:before="340" w:line="300" w:lineRule="auto"/>
        <w:jc w:val="both"/>
      </w:pPr>
      <w:r>
        <w:rPr>
          <w:color w:val="000000"/>
          <w:sz w:val="24"/>
          <w:szCs w:val="24"/>
        </w:rPr>
        <w:t>Co także istotne w ww. kontekście, w wyroku z 22.02.2018 r. (C-182/17), TSUE wskazał, iż zasadniczo działalność polegająca na wykonywaniu przez spółkę niektórych zadań publicznych gminy zgodnie z umową zawartą między tą spółką a gminą stanowi odpłatne świadczenie usług, podlegające opodatkowaniu podatkiem od wartości dodanej. Mając na uwadze powyższe, nie sposób zatem wykluczyć uznania, iż także w przypadku zaangażowania SK, usługi na rzecz pasażera świadczy jednak JST.</w:t>
      </w:r>
    </w:p>
    <w:p w:rsidR="004E59F4" w:rsidRDefault="00273D75">
      <w:pPr>
        <w:spacing w:line="300" w:lineRule="auto"/>
        <w:jc w:val="both"/>
      </w:pPr>
      <w:r>
        <w:rPr>
          <w:color w:val="000000"/>
          <w:sz w:val="24"/>
          <w:szCs w:val="24"/>
        </w:rPr>
        <w:t>Nie można także wykluczyć ryzyka, iż środki przekazywane przez JST do SK (w ramach „wynagrodzenia”/rekompensaty za zlecone/powierzone usługi) stanowią:</w:t>
      </w:r>
    </w:p>
    <w:p w:rsidR="004E59F4" w:rsidRDefault="00273D75">
      <w:pPr>
        <w:spacing w:line="300" w:lineRule="auto"/>
        <w:jc w:val="both"/>
      </w:pPr>
      <w:r>
        <w:rPr>
          <w:color w:val="000000"/>
          <w:sz w:val="24"/>
          <w:szCs w:val="24"/>
        </w:rPr>
        <w:t>- wynagrodzenie za usługę opodatkowaną VAT świadczoną przez SK na rzecz JST,</w:t>
      </w:r>
    </w:p>
    <w:p w:rsidR="004E59F4" w:rsidRDefault="00273D75">
      <w:pPr>
        <w:spacing w:line="300" w:lineRule="auto"/>
        <w:jc w:val="both"/>
      </w:pPr>
      <w:r>
        <w:rPr>
          <w:color w:val="000000"/>
          <w:sz w:val="24"/>
          <w:szCs w:val="24"/>
        </w:rPr>
        <w:t>- element podstawy opodatkowania (dotację, o której mowa w art. 29a ust. 1 ustawy o VAT) usługi świadczonej przez SK na rzecz pasażerów.</w:t>
      </w:r>
    </w:p>
    <w:p w:rsidR="004E59F4" w:rsidRDefault="00273D75">
      <w:pPr>
        <w:spacing w:before="340" w:line="300" w:lineRule="auto"/>
        <w:jc w:val="both"/>
      </w:pPr>
      <w:r>
        <w:rPr>
          <w:color w:val="000000"/>
          <w:sz w:val="24"/>
          <w:szCs w:val="24"/>
        </w:rPr>
        <w:lastRenderedPageBreak/>
        <w:t>Mając natomiast na uwadze przepisy powołane już w pkt. 2 niniejszej ekspertyzy w zakresie</w:t>
      </w:r>
      <w:r>
        <w:rPr>
          <w:b/>
          <w:bCs/>
          <w:color w:val="000000"/>
          <w:sz w:val="24"/>
          <w:szCs w:val="24"/>
        </w:rPr>
        <w:t xml:space="preserve"> prawa do odliczenia VAT</w:t>
      </w:r>
      <w:r>
        <w:rPr>
          <w:color w:val="000000"/>
          <w:sz w:val="24"/>
          <w:szCs w:val="24"/>
        </w:rPr>
        <w:t xml:space="preserve"> (art. 86 ust. 1 ustawy o VAT), uznać zatem należy, iż nawet w przypadku gdyby powierzenie/zlecenie usługi SK potraktowane zostałoby jako odpłatne świadczenie usługi (opodatkowane VAT) przez SK na rzecz JST, to JST nie będzie miała prawa do odliczenia VAT, jeśli nabyte usługi nie będą miały związku z wykonywanymi przez JST czynnościami opodatkowanymi VAT (w tym, sama nie będzie świadczyć usługi transportowej na rzecz pasażerów na zasadzie art. 8 ust. 2a ustawy o VAT).</w:t>
      </w:r>
    </w:p>
    <w:p w:rsidR="004E59F4" w:rsidRDefault="004E59F4">
      <w:pPr>
        <w:spacing w:before="340" w:line="300" w:lineRule="auto"/>
        <w:jc w:val="both"/>
        <w:rPr>
          <w:color w:val="000000"/>
          <w:sz w:val="24"/>
          <w:szCs w:val="24"/>
        </w:rPr>
      </w:pPr>
    </w:p>
    <w:p w:rsidR="004E59F4" w:rsidRDefault="00273D75">
      <w:pPr>
        <w:spacing w:before="340" w:line="300" w:lineRule="auto"/>
        <w:jc w:val="both"/>
        <w:rPr>
          <w:color w:val="000000"/>
          <w:sz w:val="24"/>
          <w:szCs w:val="24"/>
        </w:rPr>
      </w:pPr>
      <w:r>
        <w:br w:type="page"/>
      </w:r>
    </w:p>
    <w:p w:rsidR="004E59F4" w:rsidRDefault="00273D75">
      <w:pPr>
        <w:pStyle w:val="Nagwek2"/>
        <w:spacing w:before="0" w:after="113" w:line="300" w:lineRule="auto"/>
        <w:jc w:val="both"/>
      </w:pPr>
      <w:bookmarkStart w:id="14" w:name="__RefHeading___Toc4853_1472122084"/>
      <w:bookmarkEnd w:id="14"/>
      <w:r>
        <w:rPr>
          <w:rFonts w:ascii="Calibri" w:hAnsi="Calibri"/>
          <w:i w:val="0"/>
          <w:color w:val="000000"/>
          <w:szCs w:val="24"/>
        </w:rPr>
        <w:lastRenderedPageBreak/>
        <w:t>5. VAT od świadczenia usług transportowych door-to-door przez podmiot, któremu JST powierzył wykonanie usługi (firma lub organizacja pozarządowa)</w:t>
      </w:r>
    </w:p>
    <w:p w:rsidR="004E59F4" w:rsidRDefault="00273D75">
      <w:pPr>
        <w:spacing w:line="300" w:lineRule="auto"/>
        <w:jc w:val="both"/>
      </w:pPr>
      <w:r>
        <w:rPr>
          <w:sz w:val="24"/>
          <w:szCs w:val="24"/>
        </w:rPr>
        <w:t>Jak wskazano w pkt. II, w tym zakresie analizie podlega kwestia ewentualnego odliczenia VAT od usług transportowych świadczonych przez firmę lub organizację pozarządową na rzecz JST.</w:t>
      </w:r>
    </w:p>
    <w:p w:rsidR="004E59F4" w:rsidRDefault="00273D75">
      <w:pPr>
        <w:spacing w:line="300" w:lineRule="auto"/>
        <w:jc w:val="both"/>
      </w:pPr>
      <w:r>
        <w:rPr>
          <w:sz w:val="24"/>
          <w:szCs w:val="24"/>
        </w:rPr>
        <w:t>Niezależnie od, podniesionych w pkt. 1 i 4 ekspertyzy, wątpliwości dotyczących wskazania podmiotów, które – w zależności od przyjętego modelu – miałyby świadczyć usługi podlegające VAT, w tym miejscu, z uwagi na sposób postawienia problemu, za punkt wyjścia przyjąć należałoby jednak, iż PK/OPP będzie świadczyć usługi na rzecz JST.</w:t>
      </w:r>
    </w:p>
    <w:p w:rsidR="004E59F4" w:rsidRDefault="00273D75">
      <w:pPr>
        <w:spacing w:line="300" w:lineRule="auto"/>
        <w:jc w:val="both"/>
      </w:pPr>
      <w:r>
        <w:rPr>
          <w:sz w:val="24"/>
          <w:szCs w:val="24"/>
        </w:rPr>
        <w:t xml:space="preserve">Jeśli chodzi o sytuację, w której JST zleca PK świadczenie usług transportowych, to jak wskazano już w pkt. 4 ekspertyzy </w:t>
      </w:r>
      <w:r>
        <w:rPr>
          <w:i/>
          <w:iCs/>
          <w:sz w:val="24"/>
          <w:szCs w:val="24"/>
        </w:rPr>
        <w:t>(„VAT od świadczenia usług transportowych door-to-door przez JST lub spółkę komunalną”),</w:t>
      </w:r>
      <w:r>
        <w:rPr>
          <w:sz w:val="24"/>
          <w:szCs w:val="24"/>
        </w:rPr>
        <w:t xml:space="preserve"> </w:t>
      </w:r>
      <w:r>
        <w:rPr>
          <w:color w:val="000000"/>
          <w:sz w:val="24"/>
          <w:szCs w:val="24"/>
        </w:rPr>
        <w:t>co do zasady, stawka VAT w przypadku świadczenia usług transportowych door-to-door przez podmiot, któremu JST zlecił wykonanie usługi wynosi 8%.</w:t>
      </w:r>
    </w:p>
    <w:p w:rsidR="004E59F4" w:rsidRDefault="00273D75">
      <w:pPr>
        <w:spacing w:line="300" w:lineRule="auto"/>
        <w:jc w:val="both"/>
      </w:pPr>
      <w:r>
        <w:rPr>
          <w:sz w:val="24"/>
          <w:szCs w:val="24"/>
        </w:rPr>
        <w:t>Z kolei, zwolnienie z opodatkowania będzie możliwe, jeśli  PK nie będzie zarejestrowany jako czynny podatnik VAT i spełni warunek, o którym mowa w art. 113 ust. 1 ustawy o VAT</w:t>
      </w:r>
      <w:r>
        <w:rPr>
          <w:i/>
          <w:iCs/>
          <w:sz w:val="24"/>
          <w:szCs w:val="24"/>
        </w:rPr>
        <w:t xml:space="preserve"> (który stanowi, iż zwalnia się od podatku sprzedaż dokonywaną przez podatników, u których wartość sprzedaży nie przekroczyła łącznie w poprzednim roku podatkowym kwoty 200.000 zł). </w:t>
      </w:r>
    </w:p>
    <w:p w:rsidR="004E59F4" w:rsidRDefault="00273D75">
      <w:pPr>
        <w:spacing w:line="300" w:lineRule="auto"/>
        <w:jc w:val="both"/>
      </w:pPr>
      <w:r>
        <w:rPr>
          <w:sz w:val="24"/>
          <w:szCs w:val="24"/>
        </w:rPr>
        <w:t>W tym przypadku JST nabyłaby zatem usługę zwolnioną od podatku VAT.</w:t>
      </w:r>
    </w:p>
    <w:p w:rsidR="004E59F4" w:rsidRDefault="004E59F4">
      <w:pPr>
        <w:spacing w:line="300" w:lineRule="auto"/>
        <w:jc w:val="both"/>
        <w:rPr>
          <w:sz w:val="24"/>
          <w:szCs w:val="24"/>
        </w:rPr>
      </w:pPr>
    </w:p>
    <w:p w:rsidR="004E59F4" w:rsidRDefault="00273D75">
      <w:pPr>
        <w:spacing w:line="300" w:lineRule="auto"/>
        <w:jc w:val="both"/>
      </w:pPr>
      <w:r>
        <w:rPr>
          <w:sz w:val="24"/>
          <w:szCs w:val="24"/>
        </w:rPr>
        <w:t>Przy czym, nie można tu wykluczyć takiego ukształtowania wzajemnych stosunków, w ramach których JST sama nie będzie nabywać żadnych usług od PK, ale będzie jedynie dopłacać do usługi transportowej świadczonej przez PK na rzecz pasażerów. W takim przypadku uznać należałoby, iż nie dochodzi do świadczenia usługi pomiędzy PK i JST, a środki przekazywane przez JST do PK powinny (co najwyżej) powiększać podstawę opodatkowania VAT usług świadczonych przez PK na rzecz pasażerów (por. pkt. 1 niniejszej ekspertyzy).</w:t>
      </w:r>
    </w:p>
    <w:p w:rsidR="004E59F4" w:rsidRDefault="00273D75">
      <w:pPr>
        <w:spacing w:line="300" w:lineRule="auto"/>
        <w:jc w:val="both"/>
      </w:pPr>
      <w:r>
        <w:rPr>
          <w:sz w:val="24"/>
          <w:szCs w:val="24"/>
        </w:rPr>
        <w:t>Nie można także wykluczyć ryzyka uznania, iż także i w tym modelu JST świadczy usługi na rzecz pasażera na podstawie art. 8 ust. 2a ustawy o VAT (por. pkt 1 ekspertyzy). Organy podatkowe mogłyby zatem uznać, iż JST niejako nabywa usługę od PK, a następnie „odsprzedaje” ją na rzecz pasażera (jako, że zawiera co prawda umowę z PK we własnym imieniu, ale czyni to na rzecz osoby trzeciej, tzn. pasażera). Tym bardziej, że z dodatkowych informacji od PFRON wynikałoby, iż dochód ze świadczenia usług transportowych miałby być zwracany na rachunek danej JST, tj. jeśli pasażerowie (użytkownicy) mieliby uiszczać opłaty, to podmiot komercyjny/organizacja pożytku publicznego odprowadzaliby je na rachunek JST.</w:t>
      </w:r>
    </w:p>
    <w:p w:rsidR="004E59F4" w:rsidRDefault="00273D75">
      <w:pPr>
        <w:spacing w:line="300" w:lineRule="auto"/>
        <w:jc w:val="both"/>
      </w:pPr>
      <w:r>
        <w:rPr>
          <w:sz w:val="24"/>
          <w:szCs w:val="24"/>
        </w:rPr>
        <w:t xml:space="preserve">Z kolei, w przypadku powierzenia świadczenia usług OPP należałoby jednak argumentować, iż otrzymane od JST środki finansowe na realizację powierzonego OPP zadania nie stanowią </w:t>
      </w:r>
      <w:r>
        <w:rPr>
          <w:sz w:val="24"/>
          <w:szCs w:val="24"/>
        </w:rPr>
        <w:lastRenderedPageBreak/>
        <w:t>wynagrodzenia za usługi opodatkowane VAT świadczone przez OPP na rzecz JST. Wskazać należy bowiem na specyficzny sposób nawiązania w tym zakresie relacji pomiędzy OPP i JST.</w:t>
      </w:r>
    </w:p>
    <w:p w:rsidR="004E59F4" w:rsidRDefault="00273D75">
      <w:pPr>
        <w:spacing w:line="300" w:lineRule="auto"/>
        <w:jc w:val="both"/>
      </w:pPr>
      <w:r>
        <w:rPr>
          <w:color w:val="000000"/>
          <w:sz w:val="24"/>
          <w:szCs w:val="24"/>
        </w:rPr>
        <w:t>Zgodnie z art. 11 ust. 1 pkt 2 UPP, organy administracji publicznej powierzają w sferze zadań publicznych, o której mowa w art. 4, realizację zadań publicznych organizacjom pozarządowym oraz podmiotom wymienionym w art. 3 ust. 3, prowadzącym działalność statutową w danej dziedzinie.</w:t>
      </w:r>
    </w:p>
    <w:p w:rsidR="004E59F4" w:rsidRDefault="00273D75">
      <w:pPr>
        <w:spacing w:line="300" w:lineRule="auto"/>
        <w:jc w:val="both"/>
      </w:pPr>
      <w:r>
        <w:rPr>
          <w:color w:val="000000"/>
          <w:sz w:val="24"/>
          <w:szCs w:val="24"/>
        </w:rPr>
        <w:t>W myśl ust. 2 powołanego artykułu, wspieranie oraz powierzanie, o których mowa w ust. 1, odbywają się po przeprowadzeniu otwartego konkursu ofert albo w trybach określonych w art. 11a-11c lub art. 19a.</w:t>
      </w:r>
    </w:p>
    <w:p w:rsidR="004E59F4" w:rsidRDefault="00273D75">
      <w:pPr>
        <w:spacing w:line="300" w:lineRule="auto"/>
        <w:jc w:val="both"/>
        <w:rPr>
          <w:rFonts w:ascii="Calibri" w:hAnsi="Calibri"/>
          <w:color w:val="000000"/>
          <w:sz w:val="24"/>
          <w:szCs w:val="24"/>
        </w:rPr>
      </w:pPr>
      <w:r>
        <w:rPr>
          <w:color w:val="000000"/>
          <w:sz w:val="24"/>
          <w:szCs w:val="24"/>
        </w:rPr>
        <w:t xml:space="preserve">Z kolei, w myśl art. 4 ust. 1 tej ustawy, </w:t>
      </w:r>
      <w:r>
        <w:rPr>
          <w:i/>
          <w:iCs/>
          <w:color w:val="000000"/>
          <w:sz w:val="24"/>
          <w:szCs w:val="24"/>
        </w:rPr>
        <w:t>„sfera zadań publicznych, o której mowa w art. 3 ust. 1, obejmuje zadania w zakresie:</w:t>
      </w:r>
    </w:p>
    <w:p w:rsidR="004E59F4" w:rsidRDefault="00273D75">
      <w:pPr>
        <w:spacing w:line="300" w:lineRule="auto"/>
        <w:jc w:val="both"/>
        <w:rPr>
          <w:rFonts w:ascii="Calibri" w:hAnsi="Calibri"/>
          <w:i/>
          <w:iCs/>
          <w:color w:val="000000"/>
          <w:sz w:val="24"/>
          <w:szCs w:val="24"/>
        </w:rPr>
      </w:pPr>
      <w:r>
        <w:rPr>
          <w:i/>
          <w:iCs/>
          <w:color w:val="000000"/>
          <w:sz w:val="24"/>
          <w:szCs w:val="24"/>
        </w:rPr>
        <w:t>(…) 1) pomocy społecznej, w tym pomocy rodzinom i osobom w trudnej sytuacji życiowej oraz wyrównywania szans tych rodzin i osób;</w:t>
      </w:r>
    </w:p>
    <w:p w:rsidR="004E59F4" w:rsidRDefault="00273D75">
      <w:pPr>
        <w:spacing w:line="300" w:lineRule="auto"/>
        <w:jc w:val="both"/>
        <w:rPr>
          <w:rFonts w:ascii="Calibri" w:hAnsi="Calibri"/>
          <w:i/>
          <w:iCs/>
          <w:color w:val="000000"/>
          <w:sz w:val="24"/>
          <w:szCs w:val="24"/>
        </w:rPr>
      </w:pPr>
      <w:r>
        <w:rPr>
          <w:i/>
          <w:iCs/>
          <w:color w:val="000000"/>
          <w:sz w:val="24"/>
          <w:szCs w:val="24"/>
        </w:rPr>
        <w:t>2) działalności na rzecz integracji i reintegracji zawodowej i społecznej osób zagrożonych wykluczeniem społecznym;</w:t>
      </w:r>
    </w:p>
    <w:p w:rsidR="004E59F4" w:rsidRDefault="00273D75">
      <w:pPr>
        <w:spacing w:line="300" w:lineRule="auto"/>
        <w:jc w:val="both"/>
        <w:rPr>
          <w:rFonts w:ascii="Calibri" w:hAnsi="Calibri"/>
          <w:i/>
          <w:iCs/>
          <w:color w:val="000000"/>
          <w:sz w:val="24"/>
          <w:szCs w:val="24"/>
        </w:rPr>
      </w:pPr>
      <w:r>
        <w:rPr>
          <w:i/>
          <w:iCs/>
          <w:color w:val="000000"/>
          <w:sz w:val="24"/>
          <w:szCs w:val="24"/>
        </w:rPr>
        <w:t>(…) 7) działalności na rzecz osób niepełnosprawnych (...)”.</w:t>
      </w:r>
    </w:p>
    <w:p w:rsidR="004E59F4" w:rsidRDefault="004E59F4">
      <w:pPr>
        <w:spacing w:line="300" w:lineRule="auto"/>
        <w:jc w:val="both"/>
        <w:rPr>
          <w:rFonts w:ascii="Calibri" w:hAnsi="Calibri"/>
          <w:color w:val="ED1C24"/>
          <w:sz w:val="24"/>
          <w:szCs w:val="24"/>
        </w:rPr>
      </w:pPr>
    </w:p>
    <w:p w:rsidR="004E59F4" w:rsidRDefault="00273D75">
      <w:pPr>
        <w:spacing w:line="300" w:lineRule="auto"/>
        <w:jc w:val="both"/>
      </w:pPr>
      <w:r>
        <w:rPr>
          <w:color w:val="000000"/>
          <w:sz w:val="24"/>
          <w:szCs w:val="24"/>
        </w:rPr>
        <w:t>Na podstawie art. 16 ust. 1 tej ustawy,</w:t>
      </w:r>
      <w:r>
        <w:rPr>
          <w:b/>
          <w:bCs/>
          <w:color w:val="000000"/>
          <w:sz w:val="24"/>
          <w:szCs w:val="24"/>
        </w:rPr>
        <w:t xml:space="preserve"> organizacje pozarządowe lub podmioty wymienione w art. 3 ust. 3, przyjmując zlecenie realizacji zadania publicznego </w:t>
      </w:r>
      <w:r>
        <w:rPr>
          <w:color w:val="000000"/>
          <w:sz w:val="24"/>
          <w:szCs w:val="24"/>
        </w:rPr>
        <w:t xml:space="preserve">w trybach, o których mowa w art. 11 ust. 2, </w:t>
      </w:r>
      <w:r>
        <w:rPr>
          <w:b/>
          <w:bCs/>
          <w:color w:val="000000"/>
          <w:sz w:val="24"/>
          <w:szCs w:val="24"/>
        </w:rPr>
        <w:t xml:space="preserve">zobowiązują się do wykonania zadania publicznego w zakresie i na zasadach określonych w umowie </w:t>
      </w:r>
      <w:r>
        <w:rPr>
          <w:color w:val="000000"/>
          <w:sz w:val="24"/>
          <w:szCs w:val="24"/>
        </w:rPr>
        <w:t xml:space="preserve">odpowiednio o wsparcie realizacji zadania publicznego lub </w:t>
      </w:r>
      <w:r>
        <w:rPr>
          <w:color w:val="000000"/>
          <w:sz w:val="24"/>
          <w:szCs w:val="24"/>
        </w:rPr>
        <w:br/>
      </w:r>
      <w:r>
        <w:rPr>
          <w:b/>
          <w:bCs/>
          <w:color w:val="000000"/>
          <w:sz w:val="24"/>
          <w:szCs w:val="24"/>
        </w:rPr>
        <w:t>o powierzenie realizacji zadania publicznego</w:t>
      </w:r>
      <w:r>
        <w:rPr>
          <w:color w:val="000000"/>
          <w:sz w:val="24"/>
          <w:szCs w:val="24"/>
        </w:rPr>
        <w:t xml:space="preserve">, sporządzonej z uwzględnieniem art. 151 ust. 2 i art. 221 ust. 3 ustawy z dnia 27 sierpnia 2009 r. o finansach publicznych oraz przepisów niniejszej ustawy, </w:t>
      </w:r>
      <w:r>
        <w:rPr>
          <w:b/>
          <w:bCs/>
          <w:color w:val="000000"/>
          <w:sz w:val="24"/>
          <w:szCs w:val="24"/>
        </w:rPr>
        <w:t xml:space="preserve">a organ administracji publicznej zobowiązuje się do przekazania dotacji na realizację zadania. </w:t>
      </w:r>
      <w:proofErr w:type="spellStart"/>
      <w:r>
        <w:rPr>
          <w:color w:val="000000"/>
          <w:sz w:val="24"/>
          <w:szCs w:val="24"/>
        </w:rPr>
        <w:t>Możnaby</w:t>
      </w:r>
      <w:proofErr w:type="spellEnd"/>
      <w:r>
        <w:rPr>
          <w:color w:val="000000"/>
          <w:sz w:val="24"/>
          <w:szCs w:val="24"/>
        </w:rPr>
        <w:t xml:space="preserve"> zatem argumentować, iż OPP wykonuje w tym zakresie zadanie własne JST i nie dochodzi w tym przypadku do wymiany świadczeń wzajemnych pomiędzy JST i OPP, a tym samym OPP nie świadczy usługi opodatkowanej VAT na rzecz JST.</w:t>
      </w:r>
    </w:p>
    <w:p w:rsidR="004E59F4" w:rsidRDefault="00273D75">
      <w:pPr>
        <w:spacing w:line="300" w:lineRule="auto"/>
        <w:jc w:val="both"/>
      </w:pPr>
      <w:r>
        <w:rPr>
          <w:color w:val="000000"/>
          <w:sz w:val="24"/>
          <w:szCs w:val="24"/>
        </w:rPr>
        <w:t>Mając jednak na uwadze bieżącą linię interpretacyjną DKIS (w zakresie ujęcia dla celów VAT powierzenia zadań własnych JST, co zaprezentowano w pkt. 4 powyżej), wskazać należy na ryzyko podatkowe w tym zakresie (tj. ryzyko uznania, iż w tym przypadku OPP świadczy jednak usługi na rzecz JST).</w:t>
      </w:r>
    </w:p>
    <w:p w:rsidR="004E59F4" w:rsidRDefault="00273D75">
      <w:pPr>
        <w:spacing w:line="300" w:lineRule="auto"/>
        <w:jc w:val="both"/>
      </w:pPr>
      <w:r>
        <w:rPr>
          <w:color w:val="000000"/>
          <w:sz w:val="24"/>
          <w:szCs w:val="24"/>
        </w:rPr>
        <w:t>Wnioski zaprezentowane powyżej są niezależne od pobierania odpłatności od pasażerów, tzn. niezależne od tego, czy beneficjent ostateczny (pasażer) będzie ponosić odpłatność, czy też nie będzie ponosił odpłatności.</w:t>
      </w:r>
    </w:p>
    <w:p w:rsidR="004E59F4" w:rsidRDefault="004E59F4">
      <w:pPr>
        <w:spacing w:line="300" w:lineRule="auto"/>
        <w:jc w:val="both"/>
        <w:rPr>
          <w:b/>
          <w:bCs/>
        </w:rPr>
      </w:pPr>
    </w:p>
    <w:p w:rsidR="004E59F4" w:rsidRDefault="00273D75">
      <w:pPr>
        <w:spacing w:line="300" w:lineRule="auto"/>
        <w:jc w:val="both"/>
      </w:pPr>
      <w:r>
        <w:rPr>
          <w:color w:val="000000"/>
          <w:sz w:val="24"/>
          <w:szCs w:val="24"/>
        </w:rPr>
        <w:lastRenderedPageBreak/>
        <w:t xml:space="preserve">Jeśli chodzi natomiast o </w:t>
      </w:r>
      <w:r w:rsidRPr="0035535A">
        <w:rPr>
          <w:b/>
          <w:bCs/>
          <w:color w:val="000000"/>
          <w:sz w:val="24"/>
          <w:szCs w:val="24"/>
        </w:rPr>
        <w:t>prawo do odliczenia VAT po stronie JST</w:t>
      </w:r>
      <w:r>
        <w:rPr>
          <w:color w:val="000000"/>
          <w:sz w:val="24"/>
          <w:szCs w:val="24"/>
        </w:rPr>
        <w:t>, to - mając na uwadze przepisy powołane już w pkt. 2 niniejszej ekspertyzy w zakresie prawa do odliczenia VAT (art. 86 ust. 1 ustawy o VAT) - uznać należy, iż w przypadku gdyby powierzenie/zlecenie usługi OPP/PK potraktowane zostałoby jako odpłatne świadczenie usługi (opodatkowane VAT) przez OPP/PK na rzecz JST, to JST nie będzie miała prawa do odliczenia VAT, jeśli nabyte usługi nie będą miały związku z wykonywanymi przez JST czynnościami opodatkowanymi VAT (w tym, sama nie będzie świadczyć usługi transportowej na rzecz pasażerów na zasadzie art. 8 ust. 2a ustawy o VAT).</w:t>
      </w:r>
    </w:p>
    <w:p w:rsidR="004E59F4" w:rsidRDefault="004E59F4">
      <w:pPr>
        <w:spacing w:line="300" w:lineRule="auto"/>
        <w:jc w:val="both"/>
        <w:rPr>
          <w:color w:val="000000"/>
          <w:sz w:val="24"/>
          <w:szCs w:val="24"/>
        </w:rPr>
      </w:pPr>
    </w:p>
    <w:p w:rsidR="004E59F4" w:rsidRDefault="004E59F4">
      <w:pPr>
        <w:spacing w:line="300" w:lineRule="auto"/>
        <w:jc w:val="both"/>
        <w:rPr>
          <w:color w:val="000000"/>
          <w:sz w:val="24"/>
          <w:szCs w:val="24"/>
        </w:rPr>
      </w:pPr>
    </w:p>
    <w:p w:rsidR="004E59F4" w:rsidRDefault="004E59F4">
      <w:pPr>
        <w:spacing w:line="300" w:lineRule="auto"/>
        <w:jc w:val="both"/>
        <w:rPr>
          <w:color w:val="000000"/>
          <w:sz w:val="24"/>
          <w:szCs w:val="24"/>
        </w:rPr>
      </w:pPr>
    </w:p>
    <w:p w:rsidR="004E59F4" w:rsidRDefault="004E59F4">
      <w:pPr>
        <w:spacing w:line="300" w:lineRule="auto"/>
        <w:jc w:val="both"/>
        <w:rPr>
          <w:rFonts w:ascii="Calibri" w:hAnsi="Calibri"/>
          <w:color w:val="000000"/>
          <w:sz w:val="24"/>
          <w:szCs w:val="24"/>
        </w:rPr>
      </w:pPr>
    </w:p>
    <w:p w:rsidR="004E59F4" w:rsidRDefault="00273D75">
      <w:pPr>
        <w:pStyle w:val="Nagwek2"/>
        <w:spacing w:line="300" w:lineRule="auto"/>
        <w:jc w:val="both"/>
        <w:rPr>
          <w:rFonts w:ascii="Calibri" w:hAnsi="Calibri"/>
          <w:i w:val="0"/>
          <w:color w:val="000000"/>
          <w:szCs w:val="24"/>
        </w:rPr>
      </w:pPr>
      <w:r>
        <w:br w:type="page"/>
      </w:r>
    </w:p>
    <w:p w:rsidR="004E59F4" w:rsidRDefault="00273D75">
      <w:pPr>
        <w:pStyle w:val="Nagwek2"/>
        <w:spacing w:before="0" w:after="113" w:line="300" w:lineRule="auto"/>
        <w:jc w:val="both"/>
      </w:pPr>
      <w:bookmarkStart w:id="15" w:name="__RefHeading___Toc4855_1472122084"/>
      <w:bookmarkEnd w:id="15"/>
      <w:r>
        <w:rPr>
          <w:rFonts w:ascii="Calibri" w:hAnsi="Calibri"/>
          <w:i w:val="0"/>
          <w:color w:val="000000"/>
          <w:szCs w:val="24"/>
        </w:rPr>
        <w:lastRenderedPageBreak/>
        <w:t>6. Rozliczenie przejazdu - dokumentacja</w:t>
      </w:r>
    </w:p>
    <w:p w:rsidR="004E59F4" w:rsidRDefault="00273D75">
      <w:pPr>
        <w:spacing w:line="300" w:lineRule="auto"/>
        <w:jc w:val="both"/>
      </w:pPr>
      <w:r>
        <w:rPr>
          <w:color w:val="000000"/>
          <w:sz w:val="24"/>
          <w:szCs w:val="24"/>
        </w:rPr>
        <w:t xml:space="preserve">Ustalając, na podstawie jakich dokumentów powinno nastąpić rozliczenie przejazdu (usługi door-to-door) na rzecz użytkownika – beneficjenta ostatecznego, zauważyć </w:t>
      </w:r>
      <w:r>
        <w:rPr>
          <w:rFonts w:eastAsia="Calibri"/>
          <w:color w:val="000000"/>
          <w:sz w:val="24"/>
          <w:szCs w:val="24"/>
        </w:rPr>
        <w:t>należy</w:t>
      </w:r>
      <w:r>
        <w:rPr>
          <w:color w:val="000000"/>
          <w:sz w:val="24"/>
          <w:szCs w:val="24"/>
        </w:rPr>
        <w:t>, iż użytkownikiem tym będzie osoba fizyczna nieprowadząca działalności gospodarczej (tj. osoba ta nie będzie nabywała tej usługi jako osoba fizyczna prowadząca działalność gospodarczą).</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color w:val="000000"/>
          <w:sz w:val="24"/>
          <w:szCs w:val="24"/>
        </w:rPr>
      </w:pPr>
      <w:r>
        <w:rPr>
          <w:color w:val="000000"/>
          <w:sz w:val="24"/>
          <w:szCs w:val="24"/>
        </w:rPr>
        <w:t>Zgodnie natomiast z art. 111 ust. 1 ustawy o VAT, podatnicy dokonujący sprzedaży na rzecz osób fizycznych nieprowadzących działalności gospodarczej oraz rolników ryczałtowych są obowiązani prowadzić ewidencję sprzedaży przy zastosowaniu kas rejestrujących.</w:t>
      </w:r>
    </w:p>
    <w:p w:rsidR="004E59F4" w:rsidRDefault="00273D75">
      <w:pPr>
        <w:spacing w:line="300" w:lineRule="auto"/>
        <w:jc w:val="both"/>
        <w:rPr>
          <w:rFonts w:ascii="Calibri" w:hAnsi="Calibri"/>
          <w:color w:val="000000"/>
          <w:sz w:val="24"/>
          <w:szCs w:val="24"/>
        </w:rPr>
      </w:pPr>
      <w:r>
        <w:rPr>
          <w:color w:val="000000"/>
          <w:sz w:val="24"/>
          <w:szCs w:val="24"/>
        </w:rPr>
        <w:t>W myśl ust. 3a pkt 1 powołanego artykułu, podatnicy prowadzący ewidencję sprzedaży przy zastosowaniu kas rejestrujących są obowiązani dokonywać wydruku paragonu fiskalnego lub faktury z każdej sprzedaży oraz wydawać wydrukowany dokument nabywcy.</w:t>
      </w:r>
    </w:p>
    <w:p w:rsidR="004E59F4" w:rsidRDefault="004E59F4">
      <w:pPr>
        <w:spacing w:line="300" w:lineRule="auto"/>
        <w:jc w:val="both"/>
        <w:rPr>
          <w:rFonts w:ascii="Calibri" w:hAnsi="Calibri"/>
          <w:color w:val="000000"/>
          <w:sz w:val="12"/>
          <w:szCs w:val="12"/>
        </w:rPr>
      </w:pPr>
    </w:p>
    <w:p w:rsidR="004E59F4" w:rsidRDefault="00273D75">
      <w:pPr>
        <w:spacing w:line="300" w:lineRule="auto"/>
        <w:jc w:val="both"/>
        <w:rPr>
          <w:rFonts w:ascii="Calibri" w:hAnsi="Calibri"/>
          <w:color w:val="000000"/>
          <w:sz w:val="24"/>
          <w:szCs w:val="24"/>
        </w:rPr>
      </w:pPr>
      <w:r>
        <w:rPr>
          <w:color w:val="000000"/>
          <w:sz w:val="24"/>
          <w:szCs w:val="24"/>
        </w:rPr>
        <w:t xml:space="preserve">Stosownie do § 3 ust. 1 Rozporządzenia MF </w:t>
      </w:r>
      <w:proofErr w:type="spellStart"/>
      <w:r>
        <w:rPr>
          <w:color w:val="000000"/>
          <w:sz w:val="24"/>
          <w:szCs w:val="24"/>
        </w:rPr>
        <w:t>ws</w:t>
      </w:r>
      <w:proofErr w:type="spellEnd"/>
      <w:r>
        <w:rPr>
          <w:color w:val="000000"/>
          <w:sz w:val="24"/>
          <w:szCs w:val="24"/>
        </w:rPr>
        <w:t>. kas rejestrujących, podatnicy prowadzą ewidencję każdej czynności sprzedaży, w tym sprzedaży zwolnionej od podatku, przy użyciu kas, które zostały nabyte w okresie obowiązywania potwierdzenia, że kasa spełnia funkcje wymienione odpowiednio w art. 111 ust. 6a lub w art. 145a ust. 2 ustawy oraz wymagania techniczne (kryteria i warunki techniczne) dla kas, wyłącznie w trybie fiskalnym pracy tej kasy, po dokonaniu jej fiskalizacji.</w:t>
      </w:r>
    </w:p>
    <w:p w:rsidR="004E59F4" w:rsidRDefault="00273D75">
      <w:pPr>
        <w:spacing w:line="300" w:lineRule="auto"/>
        <w:jc w:val="both"/>
        <w:rPr>
          <w:rFonts w:ascii="Calibri" w:hAnsi="Calibri"/>
          <w:color w:val="000000"/>
          <w:sz w:val="24"/>
          <w:szCs w:val="24"/>
        </w:rPr>
      </w:pPr>
      <w:r>
        <w:rPr>
          <w:color w:val="000000"/>
          <w:sz w:val="24"/>
          <w:szCs w:val="24"/>
        </w:rPr>
        <w:t>Zgodnie natomiast z § 6 ust. 1 pkt 1 i 2 tego rozporządzenia, podatnicy, prowadząc ewidencję:</w:t>
      </w:r>
    </w:p>
    <w:p w:rsidR="004E59F4" w:rsidRDefault="00273D75">
      <w:pPr>
        <w:spacing w:line="300" w:lineRule="auto"/>
        <w:jc w:val="both"/>
        <w:rPr>
          <w:rFonts w:ascii="Calibri" w:hAnsi="Calibri"/>
          <w:color w:val="000000"/>
          <w:sz w:val="24"/>
          <w:szCs w:val="24"/>
        </w:rPr>
      </w:pPr>
      <w:r>
        <w:rPr>
          <w:color w:val="000000"/>
          <w:sz w:val="24"/>
          <w:szCs w:val="24"/>
        </w:rPr>
        <w:t>1) wystawiają i wydają nabywcy, bez jego żądania, paragon fiskalny podczas dokonywania sprzedaży, nie później niż z chwilą przyjęcia należności, bez względu na formę płatności, z zastrzeżeniem § 12;</w:t>
      </w:r>
    </w:p>
    <w:p w:rsidR="004E59F4" w:rsidRDefault="00273D75">
      <w:pPr>
        <w:spacing w:line="300" w:lineRule="auto"/>
        <w:jc w:val="both"/>
        <w:rPr>
          <w:rFonts w:ascii="Calibri" w:hAnsi="Calibri"/>
          <w:color w:val="000000"/>
          <w:sz w:val="24"/>
          <w:szCs w:val="24"/>
        </w:rPr>
      </w:pPr>
      <w:r>
        <w:rPr>
          <w:color w:val="000000"/>
          <w:sz w:val="24"/>
          <w:szCs w:val="24"/>
        </w:rPr>
        <w:t>2) w przypadku otrzymania przed dokonaniem sprzedaży całości albo części należności (zapłaty):</w:t>
      </w:r>
    </w:p>
    <w:p w:rsidR="004E59F4" w:rsidRDefault="00273D75">
      <w:pPr>
        <w:spacing w:line="300" w:lineRule="auto"/>
        <w:jc w:val="both"/>
        <w:rPr>
          <w:rFonts w:ascii="Calibri" w:hAnsi="Calibri"/>
          <w:color w:val="000000"/>
          <w:sz w:val="24"/>
          <w:szCs w:val="24"/>
        </w:rPr>
      </w:pPr>
      <w:r>
        <w:rPr>
          <w:color w:val="000000"/>
          <w:sz w:val="24"/>
          <w:szCs w:val="24"/>
        </w:rPr>
        <w:t>a) w gotówce - wystawiają i wydają nabywcy, bez jego żądania, paragon fiskalny z chwilą jej otrzymania,</w:t>
      </w:r>
    </w:p>
    <w:p w:rsidR="004E59F4" w:rsidRDefault="00273D75">
      <w:pPr>
        <w:spacing w:line="300" w:lineRule="auto"/>
        <w:jc w:val="both"/>
        <w:rPr>
          <w:rFonts w:ascii="Calibri" w:hAnsi="Calibri"/>
          <w:color w:val="000000"/>
          <w:sz w:val="24"/>
          <w:szCs w:val="24"/>
        </w:rPr>
      </w:pPr>
      <w:r>
        <w:rPr>
          <w:color w:val="000000"/>
          <w:sz w:val="24"/>
          <w:szCs w:val="24"/>
        </w:rPr>
        <w:t>b) za pośrednictwem poczty, banku lub spółdzielczej kasy oszczędnościowo-kredytowej, odpowiednio na rachunek bankowy podatnika lub na rachunek podatnika w spółdzielczej kasie oszczędnościowo-kredytowej, której jest członkiem - wystawiają i wydają nabywcy, bez jego żądania, paragon fiskalny niezwłocznie po jej uznaniu na rachunku podatnika, nie później niż z końcem miesiąca, w którym została uznana na rachunku podatnika, a jeżeli przed końcem tego miesiąca dokonano sprzedaży, nie później niż z chwilą jej dokonania.</w:t>
      </w:r>
    </w:p>
    <w:p w:rsidR="004E59F4" w:rsidRDefault="00273D75">
      <w:pPr>
        <w:spacing w:line="300" w:lineRule="auto"/>
        <w:jc w:val="both"/>
      </w:pPr>
      <w:r>
        <w:rPr>
          <w:b/>
          <w:bCs/>
          <w:color w:val="000000"/>
          <w:sz w:val="24"/>
          <w:szCs w:val="24"/>
        </w:rPr>
        <w:lastRenderedPageBreak/>
        <w:t>Zasadniczo zatem w przypadku uznania, iż usługa świadczona przez JST</w:t>
      </w:r>
      <w:r>
        <w:rPr>
          <w:color w:val="000000"/>
          <w:sz w:val="24"/>
          <w:szCs w:val="24"/>
        </w:rPr>
        <w:t xml:space="preserve"> </w:t>
      </w:r>
      <w:r>
        <w:rPr>
          <w:b/>
          <w:bCs/>
          <w:color w:val="000000"/>
          <w:sz w:val="24"/>
          <w:szCs w:val="24"/>
        </w:rPr>
        <w:t>podlega opodatkowaniu VAT, rozliczenie przejazdu (usługi door-to-door na rzecz użytkownika – beneficjenta ostatecznego) powinno nastąpić na podstawie paragonu fiskalnego.</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pPr>
      <w:r>
        <w:rPr>
          <w:color w:val="000000"/>
          <w:sz w:val="24"/>
          <w:szCs w:val="24"/>
        </w:rPr>
        <w:t>Uznać należałoby bowiem, iż w tym przypadku nie można by zastosować zwolnień z obowiązku prowadzenia ewidencji przy zastosowaniu kas rejestrujących.</w:t>
      </w:r>
    </w:p>
    <w:p w:rsidR="004E59F4" w:rsidRDefault="00273D75">
      <w:pPr>
        <w:spacing w:line="300" w:lineRule="auto"/>
        <w:jc w:val="both"/>
      </w:pPr>
      <w:r>
        <w:rPr>
          <w:color w:val="000000"/>
          <w:sz w:val="24"/>
          <w:szCs w:val="24"/>
        </w:rPr>
        <w:t>Zgodnie bowiem z § 4 ust. 1 pkt 2 lit. a Rozporządzenia MF z 28.12.2018, zwolnień z obowiązku ewidencjonowania, o których mowa w § 2 i § 3, nie stosuje się w przypadku świadczenia usług przewozów pasażerskich w samochodowej komunikacji, z wyłączeniem przewozów wymienionych w poz. 15 i 16 załącznika do rozporządzenia.</w:t>
      </w:r>
    </w:p>
    <w:p w:rsidR="004E59F4" w:rsidRDefault="00273D75">
      <w:pPr>
        <w:spacing w:line="300" w:lineRule="auto"/>
        <w:jc w:val="both"/>
        <w:rPr>
          <w:rFonts w:ascii="Calibri" w:hAnsi="Calibri"/>
          <w:color w:val="000000"/>
          <w:sz w:val="24"/>
          <w:szCs w:val="24"/>
        </w:rPr>
      </w:pPr>
      <w:r>
        <w:rPr>
          <w:color w:val="000000"/>
          <w:sz w:val="24"/>
          <w:szCs w:val="24"/>
        </w:rPr>
        <w:t>We wskazanych pozycjach załącznika mowa natomiast wyłącznie o przewozach miejskich rozkładowych pasażerskich, innych niż kolejowe, za które są pobierane ceny ustalone przez gminę (Radę m.st. Warszawy) lub związek komunalny.</w:t>
      </w:r>
    </w:p>
    <w:p w:rsidR="004E59F4" w:rsidRDefault="004E59F4">
      <w:pPr>
        <w:spacing w:line="300" w:lineRule="auto"/>
        <w:jc w:val="both"/>
        <w:rPr>
          <w:rFonts w:ascii="Calibri" w:hAnsi="Calibri"/>
          <w:color w:val="000000"/>
          <w:sz w:val="10"/>
          <w:szCs w:val="10"/>
        </w:rPr>
      </w:pPr>
    </w:p>
    <w:p w:rsidR="004E59F4" w:rsidRDefault="00273D75">
      <w:pPr>
        <w:spacing w:line="300" w:lineRule="auto"/>
        <w:jc w:val="both"/>
      </w:pPr>
      <w:r>
        <w:rPr>
          <w:color w:val="000000"/>
          <w:sz w:val="24"/>
          <w:szCs w:val="24"/>
        </w:rPr>
        <w:t>Jak natomiast rozumiemy, usługi transportu door-to-door świadczone przez JST nie należą do kategorii przewozów rozkładowych.</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pPr>
      <w:r>
        <w:rPr>
          <w:color w:val="000000"/>
          <w:sz w:val="24"/>
          <w:szCs w:val="24"/>
        </w:rPr>
        <w:t>Ponadto, zgodnie z § 4 ust. 1 pkt 2 lit. b powołanego rozporządzenia, zwolnień z obowiązku ewidencjonowania, o których mowa w § 2 i § 3, nie stosuje się także w przypadku przewozu osób oraz ich bagażu podręcznego taksówkami.</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pPr>
      <w:r>
        <w:rPr>
          <w:color w:val="000000"/>
          <w:sz w:val="24"/>
          <w:szCs w:val="24"/>
        </w:rPr>
        <w:t>Przy czym, należy wskazać także na</w:t>
      </w:r>
      <w:r>
        <w:rPr>
          <w:b/>
          <w:bCs/>
          <w:color w:val="000000"/>
          <w:sz w:val="24"/>
          <w:szCs w:val="24"/>
        </w:rPr>
        <w:t xml:space="preserve"> ewentualną konieczność wystawienia faktury VAT.  </w:t>
      </w:r>
      <w:r>
        <w:rPr>
          <w:color w:val="000000"/>
          <w:sz w:val="24"/>
          <w:szCs w:val="24"/>
        </w:rPr>
        <w:t>Zgodnie bowiem z art. 106b ust. 3 ustawy o VAT,</w:t>
      </w:r>
      <w:r>
        <w:rPr>
          <w:b/>
          <w:bCs/>
          <w:color w:val="000000"/>
          <w:sz w:val="24"/>
          <w:szCs w:val="24"/>
        </w:rPr>
        <w:t xml:space="preserve"> na żądanie nabywcy towaru lub usługi podatnik jest obowiązany wystawić fakturę </w:t>
      </w:r>
      <w:r>
        <w:rPr>
          <w:color w:val="000000"/>
          <w:sz w:val="24"/>
          <w:szCs w:val="24"/>
        </w:rPr>
        <w:t>dokumentującą:</w:t>
      </w:r>
    </w:p>
    <w:p w:rsidR="004E59F4" w:rsidRDefault="00273D75">
      <w:pPr>
        <w:spacing w:line="300" w:lineRule="auto"/>
        <w:jc w:val="both"/>
        <w:rPr>
          <w:rFonts w:ascii="Calibri" w:hAnsi="Calibri"/>
          <w:color w:val="000000"/>
          <w:sz w:val="24"/>
          <w:szCs w:val="24"/>
        </w:rPr>
      </w:pPr>
      <w:r>
        <w:rPr>
          <w:color w:val="000000"/>
          <w:sz w:val="24"/>
          <w:szCs w:val="24"/>
        </w:rPr>
        <w:t>1) czynności, o których mowa w ust. 1 pkt 1, z wyjątkiem czynności, o których mowa w art. 19a ust. 5 pkt 4, oraz otrzymanie całości lub części zapłaty przed wykonaniem tych czynności, z wyjątkiem przypadku, gdy zapłata dotyczy wewnątrzwspólnotowej dostawy towarów - jeżeli obowiązek wystawienia faktury nie wynika z ust. 1,</w:t>
      </w:r>
    </w:p>
    <w:p w:rsidR="004E59F4" w:rsidRDefault="00273D75">
      <w:pPr>
        <w:spacing w:line="300" w:lineRule="auto"/>
        <w:jc w:val="both"/>
        <w:rPr>
          <w:rFonts w:ascii="Calibri" w:hAnsi="Calibri"/>
          <w:color w:val="000000"/>
          <w:sz w:val="24"/>
          <w:szCs w:val="24"/>
        </w:rPr>
      </w:pPr>
      <w:r>
        <w:rPr>
          <w:color w:val="000000"/>
          <w:sz w:val="24"/>
          <w:szCs w:val="24"/>
        </w:rPr>
        <w:t>2) sprzedaż zwolnioną, o której mowa w ust. 2, z zastrzeżeniem art. 117 pkt 1 i art. 118</w:t>
      </w:r>
    </w:p>
    <w:p w:rsidR="004E59F4" w:rsidRDefault="00273D75">
      <w:pPr>
        <w:spacing w:line="300" w:lineRule="auto"/>
        <w:jc w:val="both"/>
      </w:pPr>
      <w:r>
        <w:rPr>
          <w:color w:val="000000"/>
          <w:sz w:val="24"/>
          <w:szCs w:val="24"/>
        </w:rPr>
        <w:t xml:space="preserve">- </w:t>
      </w:r>
      <w:r>
        <w:rPr>
          <w:b/>
          <w:bCs/>
          <w:color w:val="000000"/>
          <w:sz w:val="24"/>
          <w:szCs w:val="24"/>
        </w:rPr>
        <w:t>jeżeli żądanie jej wystawienia zostało zgłoszone w terminie 3 miesięcy, licząc od końca miesiąca,</w:t>
      </w:r>
      <w:r>
        <w:rPr>
          <w:color w:val="000000"/>
          <w:sz w:val="24"/>
          <w:szCs w:val="24"/>
        </w:rPr>
        <w:t xml:space="preserve"> </w:t>
      </w:r>
      <w:r>
        <w:rPr>
          <w:b/>
          <w:bCs/>
          <w:color w:val="000000"/>
          <w:sz w:val="24"/>
          <w:szCs w:val="24"/>
        </w:rPr>
        <w:t>w którym</w:t>
      </w:r>
      <w:r>
        <w:rPr>
          <w:color w:val="000000"/>
          <w:sz w:val="24"/>
          <w:szCs w:val="24"/>
        </w:rPr>
        <w:t xml:space="preserve"> dostarczono towar lub </w:t>
      </w:r>
      <w:r>
        <w:rPr>
          <w:b/>
          <w:bCs/>
          <w:color w:val="000000"/>
          <w:sz w:val="24"/>
          <w:szCs w:val="24"/>
        </w:rPr>
        <w:t>wykonano usługę bądź otrzymano całość lub część zapłaty.</w:t>
      </w:r>
    </w:p>
    <w:p w:rsidR="004E59F4" w:rsidRDefault="004E59F4">
      <w:pPr>
        <w:spacing w:line="300" w:lineRule="auto"/>
        <w:jc w:val="both"/>
        <w:rPr>
          <w:b/>
          <w:bCs/>
          <w:color w:val="000000"/>
          <w:sz w:val="24"/>
          <w:szCs w:val="24"/>
        </w:rPr>
      </w:pPr>
    </w:p>
    <w:p w:rsidR="004E59F4" w:rsidRDefault="00273D75">
      <w:pPr>
        <w:spacing w:line="300" w:lineRule="auto"/>
        <w:jc w:val="both"/>
      </w:pPr>
      <w:r>
        <w:rPr>
          <w:color w:val="000000"/>
          <w:sz w:val="24"/>
          <w:szCs w:val="24"/>
        </w:rPr>
        <w:t xml:space="preserve">Z kolei, w przypadku uznania, iż usługa świadczona przez JST jest poza VAT, rozliczenie (udokumentowanie) przejazdu powinno nastąpić na podstawie innego dokumentu (niż </w:t>
      </w:r>
      <w:r>
        <w:rPr>
          <w:color w:val="000000"/>
          <w:sz w:val="24"/>
          <w:szCs w:val="24"/>
        </w:rPr>
        <w:lastRenderedPageBreak/>
        <w:t>paragon fiskalny oraz faktura), np. rachunku. Wskazać należy bowiem, iż zgodnie z art. 87 § 1 Ordynacji podatkowej,  jeżeli z odrębnych przepisów nie wynika obowiązek wystawienia faktury, podatnicy prowadzący działalność gospodarczą są obowiązani, na żądanie kupującego lub usługobiorcy, wystawić rachunek potwierdzający dokonanie sprzedaży lub wykonanie usługi.</w:t>
      </w:r>
    </w:p>
    <w:p w:rsidR="004E59F4" w:rsidRDefault="004E59F4">
      <w:pPr>
        <w:spacing w:line="300" w:lineRule="auto"/>
        <w:jc w:val="both"/>
        <w:rPr>
          <w:color w:val="CE181E"/>
        </w:rPr>
      </w:pPr>
    </w:p>
    <w:p w:rsidR="004E59F4" w:rsidRDefault="004E59F4">
      <w:pPr>
        <w:spacing w:line="300" w:lineRule="auto"/>
        <w:jc w:val="both"/>
        <w:rPr>
          <w:color w:val="CE181E"/>
        </w:rPr>
      </w:pPr>
    </w:p>
    <w:p w:rsidR="004E59F4" w:rsidRDefault="004E59F4">
      <w:pPr>
        <w:spacing w:line="300" w:lineRule="auto"/>
        <w:jc w:val="both"/>
        <w:rPr>
          <w:color w:val="CE181E"/>
        </w:rPr>
      </w:pPr>
    </w:p>
    <w:p w:rsidR="004E59F4" w:rsidRDefault="004E59F4">
      <w:pPr>
        <w:spacing w:line="300" w:lineRule="auto"/>
        <w:jc w:val="both"/>
        <w:rPr>
          <w:rFonts w:ascii="Calibri" w:hAnsi="Calibri"/>
          <w:color w:val="CE181E"/>
          <w:sz w:val="24"/>
          <w:szCs w:val="24"/>
        </w:rPr>
      </w:pPr>
    </w:p>
    <w:p w:rsidR="004E59F4" w:rsidRDefault="00273D75">
      <w:pPr>
        <w:pStyle w:val="Nagwek2"/>
        <w:spacing w:before="0" w:after="113" w:line="300" w:lineRule="auto"/>
        <w:jc w:val="both"/>
      </w:pPr>
      <w:bookmarkStart w:id="16" w:name="__RefHeading___Toc4857_1472122084"/>
      <w:bookmarkEnd w:id="16"/>
      <w:r>
        <w:rPr>
          <w:rFonts w:ascii="Calibri" w:hAnsi="Calibri"/>
          <w:i w:val="0"/>
          <w:color w:val="000000"/>
          <w:szCs w:val="24"/>
        </w:rPr>
        <w:t>7. Ewidencja przebiegu pojazdu</w:t>
      </w:r>
    </w:p>
    <w:p w:rsidR="004E59F4" w:rsidRDefault="00273D75">
      <w:pPr>
        <w:spacing w:line="300" w:lineRule="auto"/>
        <w:jc w:val="both"/>
      </w:pPr>
      <w:r>
        <w:rPr>
          <w:color w:val="000000"/>
          <w:sz w:val="24"/>
          <w:szCs w:val="24"/>
        </w:rPr>
        <w:t>Ustalenie, czy JST zobowiązane będą do prowadzenia ewidencji przebiegu pojazdu, w przypadku jego zakupu lub leasingu ze środków grantu zależeć będzie m.in. od rodzaju pojazdu oraz tego, czy usługi door-to-door świadczone przez JST będą opodatkowane VAT (por. pkt. 4 ekspertyzy).</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color w:val="000000"/>
          <w:sz w:val="24"/>
          <w:szCs w:val="24"/>
        </w:rPr>
      </w:pPr>
      <w:r>
        <w:rPr>
          <w:color w:val="000000"/>
          <w:sz w:val="24"/>
          <w:szCs w:val="24"/>
        </w:rPr>
        <w:t>Mając na uwadze regulacje przytoczone w pkt. 2 niniejszej ekspertyzy, uznać należy, iż ewidencji tej nie trzeba będzie prowadzić w przypadku, gdy zakup lub leasing będzie dotyczyć:</w:t>
      </w:r>
    </w:p>
    <w:p w:rsidR="004E59F4" w:rsidRDefault="00273D75">
      <w:pPr>
        <w:spacing w:line="300" w:lineRule="auto"/>
        <w:jc w:val="both"/>
      </w:pPr>
      <w:r>
        <w:rPr>
          <w:color w:val="000000"/>
          <w:sz w:val="24"/>
          <w:szCs w:val="24"/>
        </w:rPr>
        <w:t xml:space="preserve">- pojazdu innego niż pojazd samochodowy w rozumieniu ustawy o VAT </w:t>
      </w:r>
      <w:r>
        <w:rPr>
          <w:i/>
          <w:iCs/>
          <w:color w:val="000000"/>
          <w:sz w:val="24"/>
          <w:szCs w:val="24"/>
        </w:rPr>
        <w:t>(tj. innego niż pojazd samochodowy w rozumieniu przepisów o ruchu drogowym o dopuszczalnej masie całkowitej nieprzekraczającej 3,5 ton</w:t>
      </w:r>
      <w:r>
        <w:rPr>
          <w:color w:val="000000"/>
          <w:sz w:val="24"/>
          <w:szCs w:val="24"/>
        </w:rPr>
        <w:t>y),</w:t>
      </w:r>
    </w:p>
    <w:p w:rsidR="004E59F4" w:rsidRDefault="00273D75">
      <w:pPr>
        <w:spacing w:line="300" w:lineRule="auto"/>
        <w:jc w:val="both"/>
        <w:rPr>
          <w:rFonts w:ascii="Calibri" w:hAnsi="Calibri"/>
          <w:color w:val="000000"/>
          <w:sz w:val="24"/>
          <w:szCs w:val="24"/>
        </w:rPr>
      </w:pPr>
      <w:r>
        <w:rPr>
          <w:color w:val="000000"/>
          <w:sz w:val="24"/>
          <w:szCs w:val="24"/>
        </w:rPr>
        <w:t>- pojazdu samochodowego, w przypadku którego JST nie przysługuje prawo do odliczenia VAT od wydatków z nimi związanych. Z taką sytuacją mamy do czynienia zasadniczo, gdy usługi door-to-door świadczone przez JST nie będą opodatkowane VAT,</w:t>
      </w:r>
    </w:p>
    <w:p w:rsidR="004E59F4" w:rsidRDefault="00273D75">
      <w:pPr>
        <w:spacing w:line="300" w:lineRule="auto"/>
        <w:jc w:val="both"/>
        <w:rPr>
          <w:rFonts w:ascii="Calibri" w:hAnsi="Calibri"/>
          <w:color w:val="000000"/>
          <w:sz w:val="24"/>
          <w:szCs w:val="24"/>
        </w:rPr>
      </w:pPr>
      <w:r>
        <w:rPr>
          <w:color w:val="000000"/>
          <w:sz w:val="24"/>
          <w:szCs w:val="24"/>
        </w:rPr>
        <w:t xml:space="preserve">- pojazdu samochodowego konstrukcyjnie przeznaczonego do przewozu co najmniej 10 osób łącznie z kierowcą, jeżeli z dokumentów wydanych na podstawie przepisów o ruchu drogowym wynika takie przeznaczenie. </w:t>
      </w:r>
    </w:p>
    <w:p w:rsidR="004E59F4" w:rsidRDefault="004E59F4">
      <w:pPr>
        <w:spacing w:line="300" w:lineRule="auto"/>
        <w:jc w:val="both"/>
        <w:rPr>
          <w:color w:val="000000"/>
        </w:rPr>
      </w:pPr>
    </w:p>
    <w:p w:rsidR="004E59F4" w:rsidRDefault="00273D75">
      <w:pPr>
        <w:spacing w:line="300" w:lineRule="auto"/>
        <w:jc w:val="both"/>
      </w:pPr>
      <w:r>
        <w:rPr>
          <w:color w:val="000000"/>
          <w:sz w:val="24"/>
          <w:szCs w:val="24"/>
        </w:rPr>
        <w:t xml:space="preserve">Ponadto, obowiązek prowadzenia ewidencji nie dotyczy pojazdów samochodowych (w rozumieniu ustawy o VAT), w przypadku których JST przysługuje prawo do odliczenia 50% kwoty VAT od wydatków z nimi związanych. Z taką sytuacją mamy do czynienia zasadniczo, gdy usługi door-to-door świadczone przez JST będą opodatkowane VAT, ale JST nie zapewni (w sposób określony w art. 86a ust. 4 pkt 1 ustawy o VAT), iż pojazdy te będą mogły być uznane za wykorzystywane wyłącznie do działalności gospodarczej. </w:t>
      </w:r>
    </w:p>
    <w:p w:rsidR="004E59F4" w:rsidRDefault="00273D75">
      <w:pPr>
        <w:spacing w:line="300" w:lineRule="auto"/>
        <w:jc w:val="both"/>
        <w:rPr>
          <w:rFonts w:ascii="Calibri" w:hAnsi="Calibri"/>
          <w:color w:val="000000"/>
          <w:sz w:val="24"/>
          <w:szCs w:val="24"/>
        </w:rPr>
      </w:pPr>
      <w:r>
        <w:rPr>
          <w:color w:val="000000"/>
          <w:sz w:val="24"/>
          <w:szCs w:val="24"/>
        </w:rPr>
        <w:t xml:space="preserve">Natomiast, jeśli usługi door-to-door świadczone przez JST będą opodatkowane VAT, a JST chcę zapewnić sobie odliczenie 100% VAT od zakupu lub leasingu pojazdu samochodowego w </w:t>
      </w:r>
      <w:r>
        <w:rPr>
          <w:color w:val="000000"/>
          <w:sz w:val="24"/>
          <w:szCs w:val="24"/>
        </w:rPr>
        <w:lastRenderedPageBreak/>
        <w:t>rozumieniu ustawy o VAT (innego niż pojazd samochodowy konstrukcyjnie przeznaczony do przewozu co najmniej 10 osób łącznie z kierowcą, jeżeli z dokumentów wydanych na podstawie przepisów o ruchu drogowym wynika takie przeznaczenie), to trzeba będzie prowadzić ewidencję przebiegu pojazdu.</w:t>
      </w:r>
    </w:p>
    <w:p w:rsidR="004E59F4" w:rsidRDefault="004E59F4">
      <w:pPr>
        <w:spacing w:line="300" w:lineRule="auto"/>
        <w:jc w:val="both"/>
        <w:rPr>
          <w:rFonts w:ascii="Calibri" w:hAnsi="Calibri"/>
          <w:color w:val="ED1C24"/>
          <w:sz w:val="24"/>
          <w:szCs w:val="24"/>
        </w:rPr>
      </w:pPr>
    </w:p>
    <w:p w:rsidR="004E59F4" w:rsidRDefault="00273D75">
      <w:pPr>
        <w:spacing w:line="300" w:lineRule="auto"/>
        <w:jc w:val="both"/>
        <w:rPr>
          <w:rFonts w:ascii="Calibri" w:hAnsi="Calibri"/>
          <w:color w:val="000000"/>
          <w:sz w:val="24"/>
          <w:szCs w:val="24"/>
        </w:rPr>
      </w:pPr>
      <w:r>
        <w:rPr>
          <w:color w:val="000000"/>
          <w:sz w:val="24"/>
          <w:szCs w:val="24"/>
        </w:rPr>
        <w:t>Rozporządzenie MF z 28.05.2014, określające przypadki, w których nie stosuje się warunku prowadzenia ewidencji przebiegu pojazdu, odwołuje się jedynie do pojazdów samochodowych będących pojazdami specjalnymi o przeznaczeniu:</w:t>
      </w:r>
    </w:p>
    <w:p w:rsidR="004E59F4" w:rsidRDefault="00273D75">
      <w:pPr>
        <w:spacing w:line="300" w:lineRule="auto"/>
        <w:jc w:val="both"/>
        <w:rPr>
          <w:rFonts w:ascii="Calibri" w:hAnsi="Calibri"/>
          <w:color w:val="000000"/>
          <w:sz w:val="24"/>
          <w:szCs w:val="24"/>
        </w:rPr>
      </w:pPr>
      <w:r>
        <w:rPr>
          <w:color w:val="000000"/>
          <w:sz w:val="24"/>
          <w:szCs w:val="24"/>
        </w:rPr>
        <w:t>1) pomoc drogowa, mających nadwozie konstrukcyjnie przeznaczone do przewozu uszkodzonych pojazdów,</w:t>
      </w:r>
    </w:p>
    <w:p w:rsidR="004E59F4" w:rsidRDefault="00273D75">
      <w:pPr>
        <w:spacing w:line="300" w:lineRule="auto"/>
        <w:jc w:val="both"/>
        <w:rPr>
          <w:rFonts w:ascii="Calibri" w:hAnsi="Calibri"/>
          <w:color w:val="000000"/>
          <w:sz w:val="24"/>
          <w:szCs w:val="24"/>
        </w:rPr>
      </w:pPr>
      <w:r>
        <w:rPr>
          <w:color w:val="000000"/>
          <w:sz w:val="24"/>
          <w:szCs w:val="24"/>
        </w:rPr>
        <w:t>2) pogrzebowy, innych niż określone w § 2 pkt 1 rozporządzenia Ministra Finansów z dnia 27 marca 2014 r. w sprawie pojazdów samochodowych uznawanych za wykorzystywane wyłącznie do działalności gospodarczej podatnika (Dz. U. poz. 407), jeżeli przedmiotem działalności gospodarczej podatnika wykorzystującego te pojazdy są usługi pogrzebowe,</w:t>
      </w:r>
    </w:p>
    <w:p w:rsidR="004E59F4" w:rsidRDefault="00273D75">
      <w:pPr>
        <w:spacing w:line="300" w:lineRule="auto"/>
        <w:jc w:val="both"/>
        <w:rPr>
          <w:rFonts w:ascii="Calibri" w:hAnsi="Calibri"/>
          <w:color w:val="000000"/>
          <w:sz w:val="24"/>
          <w:szCs w:val="24"/>
        </w:rPr>
      </w:pPr>
      <w:r>
        <w:rPr>
          <w:color w:val="000000"/>
          <w:sz w:val="24"/>
          <w:szCs w:val="24"/>
        </w:rPr>
        <w:t>3) bankowóz - wyłącznie typu A i B, innych niż określone w § 2 pkt 2 rozporządzenia, o którym mowa w pkt 2, jeżeli przedmiotem działalności gospodarczej podatnika wykorzystującego te pojazdy jest transport wartości pieniężnych</w:t>
      </w:r>
    </w:p>
    <w:p w:rsidR="004E59F4" w:rsidRDefault="00273D75">
      <w:pPr>
        <w:spacing w:line="300" w:lineRule="auto"/>
        <w:jc w:val="both"/>
      </w:pPr>
      <w:r>
        <w:rPr>
          <w:color w:val="000000"/>
          <w:sz w:val="24"/>
          <w:szCs w:val="24"/>
        </w:rPr>
        <w:t>- jeżeli z dokumentów wydanych zgodnie z przepisami o ruchu drogowym wynika, że dany pojazd jest pojazdem specjalnym, i jeżeli spełnione są warunki zawarte w odrębnych przepisach, określone dla tych przeznaczeń.</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pPr>
      <w:r>
        <w:rPr>
          <w:color w:val="000000"/>
          <w:sz w:val="24"/>
          <w:szCs w:val="24"/>
        </w:rPr>
        <w:t>Wobec powyższego, wyłączenia przewidziane w tym rozporządzeniu nie będą miały zastosowania w analizowanej sytuacji.</w:t>
      </w:r>
      <w:r>
        <w:br w:type="page"/>
      </w:r>
    </w:p>
    <w:p w:rsidR="004E59F4" w:rsidRDefault="00273D75">
      <w:pPr>
        <w:pStyle w:val="Nagwek2"/>
        <w:spacing w:before="0" w:after="113" w:line="300" w:lineRule="auto"/>
        <w:jc w:val="both"/>
      </w:pPr>
      <w:bookmarkStart w:id="17" w:name="__RefHeading___Toc4859_1472122084"/>
      <w:bookmarkEnd w:id="17"/>
      <w:r>
        <w:rPr>
          <w:rFonts w:ascii="Calibri" w:hAnsi="Calibri"/>
          <w:i w:val="0"/>
          <w:color w:val="000000"/>
          <w:szCs w:val="24"/>
        </w:rPr>
        <w:lastRenderedPageBreak/>
        <w:t>8. Weryfikacja kwalifikowalności podatku VAT</w:t>
      </w:r>
    </w:p>
    <w:p w:rsidR="004E59F4" w:rsidRDefault="004E59F4">
      <w:pPr>
        <w:spacing w:line="300" w:lineRule="auto"/>
        <w:jc w:val="both"/>
        <w:rPr>
          <w:rFonts w:ascii="Calibri" w:hAnsi="Calibri"/>
          <w:i/>
          <w:iCs/>
          <w:color w:val="000000"/>
          <w:sz w:val="8"/>
          <w:szCs w:val="8"/>
        </w:rPr>
      </w:pPr>
    </w:p>
    <w:p w:rsidR="004E59F4" w:rsidRDefault="00273D75">
      <w:pPr>
        <w:spacing w:line="300" w:lineRule="auto"/>
        <w:jc w:val="both"/>
        <w:rPr>
          <w:rFonts w:ascii="Calibri" w:hAnsi="Calibri"/>
          <w:b/>
          <w:bCs/>
          <w:color w:val="000000"/>
          <w:sz w:val="24"/>
          <w:szCs w:val="24"/>
        </w:rPr>
      </w:pPr>
      <w:r>
        <w:rPr>
          <w:b/>
          <w:bCs/>
          <w:color w:val="000000"/>
          <w:sz w:val="24"/>
          <w:szCs w:val="24"/>
        </w:rPr>
        <w:t>8.1. Sposób weryfikacji przez PFRON kwalifikowalności podatku VAT w ramach rozliczania grantów przy zakupie pojazdów, ujęcia ich w środki trwałe oraz leasingu</w:t>
      </w:r>
    </w:p>
    <w:p w:rsidR="004E59F4" w:rsidRDefault="004E59F4">
      <w:pPr>
        <w:spacing w:line="300" w:lineRule="auto"/>
        <w:jc w:val="both"/>
        <w:rPr>
          <w:color w:val="000000"/>
        </w:rPr>
      </w:pPr>
    </w:p>
    <w:p w:rsidR="004E59F4" w:rsidRDefault="00273D75">
      <w:pPr>
        <w:spacing w:line="300" w:lineRule="auto"/>
        <w:jc w:val="both"/>
      </w:pPr>
      <w:r>
        <w:rPr>
          <w:color w:val="000000"/>
          <w:sz w:val="24"/>
          <w:szCs w:val="24"/>
        </w:rPr>
        <w:t xml:space="preserve">Na wstępie, wskazać należy, iż zgodnie z podrozdziałem 6.19. (pkt 6) Wytycznych w zakresie kwalifikowalności wydatków w ramach Europejskiego Funduszu Rozwoju Regionalnego, Europejskiego Funduszu Społecznego oraz Funduszu Spójności na lata 2014-2020 (Warszawa, 22 sierpnia 2019 r.), dalej - </w:t>
      </w:r>
      <w:r>
        <w:rPr>
          <w:i/>
          <w:iCs/>
          <w:color w:val="000000"/>
          <w:sz w:val="24"/>
          <w:szCs w:val="24"/>
        </w:rPr>
        <w:t xml:space="preserve">„Wytyczne </w:t>
      </w:r>
      <w:proofErr w:type="spellStart"/>
      <w:r>
        <w:rPr>
          <w:i/>
          <w:iCs/>
          <w:color w:val="000000"/>
          <w:sz w:val="24"/>
          <w:szCs w:val="24"/>
        </w:rPr>
        <w:t>ws</w:t>
      </w:r>
      <w:proofErr w:type="spellEnd"/>
      <w:r>
        <w:rPr>
          <w:i/>
          <w:iCs/>
          <w:color w:val="000000"/>
          <w:sz w:val="24"/>
          <w:szCs w:val="24"/>
        </w:rPr>
        <w:t>. kwalifikowalności”</w:t>
      </w:r>
      <w:r>
        <w:rPr>
          <w:color w:val="000000"/>
          <w:sz w:val="24"/>
          <w:szCs w:val="24"/>
        </w:rPr>
        <w:t xml:space="preserve">, </w:t>
      </w:r>
      <w:r>
        <w:rPr>
          <w:b/>
          <w:bCs/>
          <w:color w:val="000000"/>
          <w:sz w:val="24"/>
          <w:szCs w:val="24"/>
        </w:rPr>
        <w:t>do wnioskodawcy mają zastosowanie warunki i procedury określone w podrozdziale 6.13</w:t>
      </w:r>
    </w:p>
    <w:p w:rsidR="004E59F4" w:rsidRDefault="00273D75">
      <w:pPr>
        <w:spacing w:line="300" w:lineRule="auto"/>
        <w:jc w:val="both"/>
        <w:rPr>
          <w:rFonts w:ascii="Calibri" w:hAnsi="Calibri"/>
          <w:color w:val="000000"/>
          <w:sz w:val="24"/>
          <w:szCs w:val="24"/>
        </w:rPr>
      </w:pPr>
      <w:r>
        <w:rPr>
          <w:color w:val="000000"/>
          <w:sz w:val="24"/>
          <w:szCs w:val="24"/>
        </w:rPr>
        <w:t>Zgodnie natomiast z podrozdziałem 6.13. ww. wytycznych:</w:t>
      </w:r>
    </w:p>
    <w:p w:rsidR="004E59F4" w:rsidRDefault="00273D75">
      <w:pPr>
        <w:spacing w:line="300" w:lineRule="auto"/>
        <w:jc w:val="both"/>
        <w:rPr>
          <w:rFonts w:ascii="Calibri" w:hAnsi="Calibri"/>
          <w:color w:val="000000"/>
          <w:sz w:val="24"/>
          <w:szCs w:val="24"/>
        </w:rPr>
      </w:pPr>
      <w:r>
        <w:rPr>
          <w:color w:val="000000"/>
          <w:sz w:val="24"/>
          <w:szCs w:val="24"/>
        </w:rPr>
        <w:t xml:space="preserve">1) Podatki i inne opłaty, w szczególności </w:t>
      </w:r>
      <w:r>
        <w:rPr>
          <w:b/>
          <w:bCs/>
          <w:color w:val="000000"/>
          <w:sz w:val="24"/>
          <w:szCs w:val="24"/>
        </w:rPr>
        <w:t>podatek VAT, mogą być uznane za wydatki kwalifikowalne tylko wtedy, gdy brak jest prawnej możliwości ich odzyskania na mocy prawodawstwa krajowego.</w:t>
      </w:r>
    </w:p>
    <w:p w:rsidR="004E59F4" w:rsidRDefault="00273D75">
      <w:pPr>
        <w:spacing w:line="300" w:lineRule="auto"/>
        <w:jc w:val="both"/>
        <w:rPr>
          <w:rFonts w:ascii="Calibri" w:hAnsi="Calibri"/>
          <w:color w:val="000000"/>
          <w:sz w:val="24"/>
          <w:szCs w:val="24"/>
        </w:rPr>
      </w:pPr>
      <w:r>
        <w:rPr>
          <w:color w:val="000000"/>
          <w:sz w:val="24"/>
          <w:szCs w:val="24"/>
        </w:rPr>
        <w:t xml:space="preserve">2) Warunek określony w pkt 1 </w:t>
      </w:r>
      <w:r>
        <w:rPr>
          <w:b/>
          <w:bCs/>
          <w:color w:val="000000"/>
          <w:sz w:val="24"/>
          <w:szCs w:val="24"/>
        </w:rPr>
        <w:t>oznacza, iż zapłacony podatek VAT może być uznany za wydatek kwalifikowalny wyłącznie wówczas, gdy beneficjentowi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r>
        <w:rPr>
          <w:color w:val="000000"/>
          <w:sz w:val="24"/>
          <w:szCs w:val="24"/>
        </w:rPr>
        <w:t>. Posiadanie wyżej wymienionego prawa (potencjalnej prawnej możliwości) wyklucza uznanie wydatku za kwalifikowalny, nawet jeśli faktycznie zwrot nie nastąpił, np. ze względu na nie podjęcie przez podmiot czynności zmierzających do realizacji tego prawa.</w:t>
      </w:r>
    </w:p>
    <w:p w:rsidR="004E59F4" w:rsidRDefault="00273D75">
      <w:pPr>
        <w:spacing w:line="300" w:lineRule="auto"/>
        <w:jc w:val="both"/>
        <w:rPr>
          <w:rFonts w:ascii="Calibri" w:hAnsi="Calibri"/>
          <w:color w:val="000000"/>
          <w:sz w:val="24"/>
          <w:szCs w:val="24"/>
        </w:rPr>
      </w:pPr>
      <w:r>
        <w:rPr>
          <w:color w:val="000000"/>
          <w:sz w:val="24"/>
          <w:szCs w:val="24"/>
        </w:rPr>
        <w:t>3) Za posiadanie prawa do obniżenia kwoty podatku należnego o kwotę podatku naliczonego, o którym mowa w pkt 2, nie uznaje się możliwości określonej w art. 113 ustawy o VAT.</w:t>
      </w:r>
    </w:p>
    <w:p w:rsidR="004E59F4" w:rsidRDefault="00273D75">
      <w:pPr>
        <w:spacing w:line="300" w:lineRule="auto"/>
        <w:jc w:val="both"/>
        <w:rPr>
          <w:rFonts w:ascii="Calibri" w:hAnsi="Calibri"/>
          <w:color w:val="000000"/>
          <w:sz w:val="24"/>
          <w:szCs w:val="24"/>
        </w:rPr>
      </w:pPr>
      <w:r>
        <w:rPr>
          <w:color w:val="000000"/>
          <w:sz w:val="24"/>
          <w:szCs w:val="24"/>
        </w:rPr>
        <w:t>4) W SZOOP, umowie o dofinansowanie projektu, regulaminie konkursu lub dokumentacji dotyczącej projektu pozakonkursowego, IZ PO może wyłączyć możliwość kwalifikowania VAT w odniesieniu do określonych obszarów danego PO, w szczególności osi priorytetowych, działań, rodzajów projektów, typów beneficjentów, a nawet w odniesieniu do poszczególnych projektów.</w:t>
      </w:r>
    </w:p>
    <w:p w:rsidR="004E59F4" w:rsidRDefault="00273D75">
      <w:pPr>
        <w:spacing w:line="300" w:lineRule="auto"/>
        <w:jc w:val="both"/>
        <w:rPr>
          <w:rFonts w:ascii="Calibri" w:hAnsi="Calibri"/>
          <w:color w:val="000000"/>
          <w:sz w:val="24"/>
          <w:szCs w:val="24"/>
        </w:rPr>
      </w:pPr>
      <w:r>
        <w:rPr>
          <w:color w:val="000000"/>
          <w:sz w:val="24"/>
          <w:szCs w:val="24"/>
        </w:rPr>
        <w:t>5) IZ może podjąć decyzję, zgodnie z którą VAT będzie kwalifikowalny jedynie dla części projektu. W takiej sytuacji beneficjent jest zobowiązany zapewnić przejrzysty system rozliczania projektu, tak aby nie było wątpliwości w jakiej części oraz w jakim zakresie VAT może być uznany za kwalifikowalny.</w:t>
      </w:r>
    </w:p>
    <w:p w:rsidR="004E59F4" w:rsidRDefault="00273D75">
      <w:pPr>
        <w:spacing w:line="300" w:lineRule="auto"/>
        <w:jc w:val="both"/>
        <w:rPr>
          <w:rFonts w:ascii="Calibri" w:hAnsi="Calibri"/>
          <w:color w:val="000000"/>
          <w:sz w:val="24"/>
          <w:szCs w:val="24"/>
        </w:rPr>
      </w:pPr>
      <w:r>
        <w:rPr>
          <w:color w:val="000000"/>
          <w:sz w:val="24"/>
          <w:szCs w:val="24"/>
        </w:rPr>
        <w:lastRenderedPageBreak/>
        <w:t>6) Biorąc pod uwagę, iż</w:t>
      </w:r>
      <w:r>
        <w:rPr>
          <w:b/>
          <w:bCs/>
          <w:color w:val="000000"/>
          <w:sz w:val="24"/>
          <w:szCs w:val="24"/>
        </w:rPr>
        <w:t xml:space="preserve"> prawo do obniżenia VAT należnego o VAT naliczony może powstać zarówno w okresie realizacji projektu, jak i po jego zakończeniu, właściwa instytucja będąca stroną umowy zapewnia, aby beneficjenci, którzy zaliczą VAT do wydatków kwalifikowalnych, zobowiązali się dołączyć do wniosku o dofinansowanie projektu „Oświadczenie o kwalifikowalności VAT”,</w:t>
      </w:r>
      <w:r>
        <w:rPr>
          <w:color w:val="000000"/>
          <w:sz w:val="24"/>
          <w:szCs w:val="24"/>
        </w:rPr>
        <w:t xml:space="preserve"> którego wzór opracowuje IZ PO. Oświadczenie składa się z dwóch integralnych części. W ramach pierwszej części beneficjent oświadcza, iż w chwili składania wniosku o dofinansowanie projektu nie może odzyskać w żaden sposób poniesionego kosztu VAT, którego wysokość została określona w odpowiednim punkcie wniosku o dofinansowanie projektu (fakt ten decyduje o kwalifikowalności VAT). Natomiast w części drugiej beneficjent zobowiązuje się do zwrotu zrefundowanej ze środków unijnych części VAT, jeżeli zaistnieją przesłanki umożliwiające odzyskanie tego podatku. „Oświadczenie o kwalifikowalności VAT” podpisane przez beneficjenta powinno stanowić załącznik do zawieranej z beneficjentem umowy o dofinansowanie projektu.</w:t>
      </w:r>
    </w:p>
    <w:p w:rsidR="004E59F4" w:rsidRDefault="00273D75">
      <w:pPr>
        <w:spacing w:line="300" w:lineRule="auto"/>
        <w:jc w:val="both"/>
        <w:rPr>
          <w:rFonts w:ascii="Calibri" w:hAnsi="Calibri"/>
          <w:color w:val="000000"/>
          <w:sz w:val="24"/>
          <w:szCs w:val="24"/>
        </w:rPr>
      </w:pPr>
      <w:r>
        <w:rPr>
          <w:color w:val="000000"/>
          <w:sz w:val="24"/>
          <w:szCs w:val="24"/>
        </w:rPr>
        <w:t>7) IZ PO zapewnia, aby podpisanie umowy o dofinansowanie projektu z beneficjentem, który zaliczył VAT do wydatków kwalifikowalnych, było uwarunkowane podpisaniem oświadczenia, o którym mowa w pkt 6.</w:t>
      </w:r>
    </w:p>
    <w:p w:rsidR="004E59F4" w:rsidRDefault="00273D75">
      <w:pPr>
        <w:spacing w:line="300" w:lineRule="auto"/>
        <w:jc w:val="both"/>
        <w:rPr>
          <w:rFonts w:ascii="Calibri" w:hAnsi="Calibri"/>
          <w:color w:val="000000"/>
          <w:sz w:val="24"/>
          <w:szCs w:val="24"/>
        </w:rPr>
      </w:pPr>
      <w:r>
        <w:rPr>
          <w:color w:val="000000"/>
          <w:sz w:val="24"/>
          <w:szCs w:val="24"/>
        </w:rPr>
        <w:t>8) W przypadku instrumentów finansowych zastosowanie ma sekcja 6.18.1 pkt 6.</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color w:val="000000"/>
          <w:sz w:val="24"/>
          <w:szCs w:val="24"/>
        </w:rPr>
      </w:pPr>
      <w:r>
        <w:rPr>
          <w:color w:val="000000"/>
          <w:sz w:val="24"/>
          <w:szCs w:val="24"/>
        </w:rPr>
        <w:t xml:space="preserve">Mając powyższe na uwadze, </w:t>
      </w:r>
      <w:r>
        <w:rPr>
          <w:b/>
          <w:bCs/>
          <w:color w:val="000000"/>
          <w:sz w:val="24"/>
          <w:szCs w:val="24"/>
        </w:rPr>
        <w:t>w naszej ocenie, w ramach rozliczania grantów PFRON powinien weryfikować kwalifikowalność podatku VAT poprzez składane przez wnioskodawców oświadczenia o kwalifikowalności VAT, które w szczególności wskazywałoby na zasady rozliczenia VAT obowiązujące w danej jednostce.</w:t>
      </w:r>
    </w:p>
    <w:p w:rsidR="004E59F4" w:rsidRDefault="004E59F4">
      <w:pPr>
        <w:spacing w:line="300" w:lineRule="auto"/>
        <w:jc w:val="both"/>
      </w:pPr>
    </w:p>
    <w:p w:rsidR="004E59F4" w:rsidRDefault="00273D75">
      <w:pPr>
        <w:spacing w:line="300" w:lineRule="auto"/>
        <w:jc w:val="both"/>
        <w:rPr>
          <w:rFonts w:ascii="Calibri" w:hAnsi="Calibri"/>
          <w:color w:val="000000"/>
          <w:sz w:val="24"/>
          <w:szCs w:val="24"/>
        </w:rPr>
      </w:pPr>
      <w:r>
        <w:rPr>
          <w:color w:val="000000"/>
          <w:sz w:val="24"/>
          <w:szCs w:val="24"/>
        </w:rPr>
        <w:t>Jeżeli wnioskodawca wskazał podatek VAT jako wydatek kwalifikowalny, powinien on podać w ww. oświadczeniu szczegółowe uzasadnienie zawierające m.in. podstawę prawną wskazującą na brak możliwości obniżenia podatku VAT należnego o podatek VAT naliczony, zarówno na dzień sporządzania wniosku, jak również mając na uwadze planowany sposób wykorzystania w przyszłości majątku nabytego (lub wziętego w leasing) w związku z realizacją projektu.</w:t>
      </w:r>
    </w:p>
    <w:p w:rsidR="004E59F4" w:rsidRDefault="00273D75">
      <w:pPr>
        <w:spacing w:line="300" w:lineRule="auto"/>
        <w:jc w:val="both"/>
        <w:rPr>
          <w:rFonts w:ascii="Calibri" w:hAnsi="Calibri"/>
          <w:color w:val="000000"/>
          <w:sz w:val="24"/>
          <w:szCs w:val="24"/>
        </w:rPr>
      </w:pPr>
      <w:r>
        <w:rPr>
          <w:color w:val="000000"/>
          <w:sz w:val="24"/>
          <w:szCs w:val="24"/>
        </w:rPr>
        <w:t>Już bowiem na tym etapie wnioskodawca powinien być pewien, czy będzie mu przysługiwać prawo do odliczenia VAT, w tym powinien przewidzieć, czy w przyszłości (nie) dokona czynności opodatkowanych VAT, co może skutkować nabyciem ww. prawa a tym samym utratą prawa do kwalifikowania takiego wydatku w ramach projektu.</w:t>
      </w:r>
    </w:p>
    <w:p w:rsidR="004E59F4" w:rsidRDefault="00273D75">
      <w:pPr>
        <w:spacing w:line="300" w:lineRule="auto"/>
        <w:jc w:val="both"/>
        <w:rPr>
          <w:rFonts w:ascii="Calibri" w:hAnsi="Calibri"/>
          <w:color w:val="000000"/>
          <w:sz w:val="24"/>
          <w:szCs w:val="24"/>
        </w:rPr>
      </w:pPr>
      <w:r>
        <w:rPr>
          <w:color w:val="000000"/>
          <w:sz w:val="24"/>
          <w:szCs w:val="24"/>
        </w:rPr>
        <w:lastRenderedPageBreak/>
        <w:t xml:space="preserve">W ramach (na etapie) rozliczania grantów beneficjent powinien złożyć ponowne oświadczenie w ww. zakresie </w:t>
      </w:r>
      <w:r>
        <w:rPr>
          <w:b/>
          <w:bCs/>
          <w:color w:val="000000"/>
          <w:sz w:val="24"/>
          <w:szCs w:val="24"/>
        </w:rPr>
        <w:t>(oświadczenie, iż nie nastąpiła zmiana w kwalifikacji podatku VAT w stosunku do danych zawartych we wniosku / we wcześniej złożonym oświadczeniu).</w:t>
      </w:r>
    </w:p>
    <w:p w:rsidR="004E59F4" w:rsidRDefault="00273D75">
      <w:pPr>
        <w:spacing w:line="300" w:lineRule="auto"/>
        <w:jc w:val="both"/>
        <w:rPr>
          <w:rFonts w:ascii="Calibri" w:hAnsi="Calibri"/>
          <w:color w:val="000000"/>
          <w:sz w:val="24"/>
          <w:szCs w:val="24"/>
        </w:rPr>
      </w:pPr>
      <w:r>
        <w:rPr>
          <w:color w:val="000000"/>
          <w:sz w:val="24"/>
          <w:szCs w:val="24"/>
        </w:rPr>
        <w:t>Jeśli chodzi o treść takiego oświadczenia, to zaproponowano ją w Załączniku nr 1 do niniejszej ekspertyzy.</w:t>
      </w:r>
    </w:p>
    <w:p w:rsidR="004E59F4" w:rsidRDefault="004E59F4">
      <w:pPr>
        <w:spacing w:line="300" w:lineRule="auto"/>
        <w:jc w:val="both"/>
      </w:pPr>
    </w:p>
    <w:p w:rsidR="004E59F4" w:rsidRDefault="00273D75">
      <w:pPr>
        <w:spacing w:line="300" w:lineRule="auto"/>
        <w:jc w:val="both"/>
        <w:rPr>
          <w:rFonts w:ascii="Calibri" w:hAnsi="Calibri"/>
          <w:color w:val="000000"/>
          <w:sz w:val="24"/>
          <w:szCs w:val="24"/>
        </w:rPr>
      </w:pPr>
      <w:r>
        <w:rPr>
          <w:color w:val="000000"/>
          <w:sz w:val="24"/>
          <w:szCs w:val="24"/>
        </w:rPr>
        <w:t>Ponadto, w celu weryfikacji przez PFRON kwalifikowalności podatku VAT, można by także zobowiązać wnioskodawców do wypełniania ankiet sprawdzających kwalifikowalność VAT.</w:t>
      </w:r>
    </w:p>
    <w:p w:rsidR="004E59F4" w:rsidRDefault="00273D75">
      <w:pPr>
        <w:spacing w:line="300" w:lineRule="auto"/>
        <w:jc w:val="both"/>
        <w:rPr>
          <w:rFonts w:ascii="Calibri" w:hAnsi="Calibri"/>
          <w:color w:val="000000"/>
          <w:sz w:val="24"/>
          <w:szCs w:val="24"/>
        </w:rPr>
      </w:pPr>
      <w:r>
        <w:rPr>
          <w:color w:val="000000"/>
          <w:sz w:val="24"/>
          <w:szCs w:val="24"/>
        </w:rPr>
        <w:t>Wzór takiej ankiety zaproponowano w Załączniku nr 2 do niniejszej ekspertyzy.</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color w:val="000000"/>
          <w:sz w:val="24"/>
          <w:szCs w:val="24"/>
        </w:rPr>
      </w:pPr>
      <w:r>
        <w:rPr>
          <w:color w:val="000000"/>
          <w:sz w:val="24"/>
          <w:szCs w:val="24"/>
        </w:rPr>
        <w:t>Dodatkowo, w naszej ocenie, PFRON mógłby także wymagać przedłożenia indywidualnej interpretacji podatkowej w zakresie VAT z tytułu realizacji projektu u tych wnioskodawców, którzy złożyli oświadczenie o kwalifikowalności VAT, uznając, iż VAT jest kwalifikowalny. Dotyczyć to powinno zwłaszcza tych przypadków, w których PFRON i wnioskodawca mają odmienne stanowisko co do kwalifikowalności VAT.</w:t>
      </w:r>
    </w:p>
    <w:p w:rsidR="004E59F4" w:rsidRDefault="004E59F4">
      <w:pPr>
        <w:spacing w:line="300" w:lineRule="auto"/>
        <w:jc w:val="both"/>
        <w:rPr>
          <w:rFonts w:ascii="Calibri" w:hAnsi="Calibri"/>
          <w:b/>
          <w:bCs/>
          <w:color w:val="000000"/>
          <w:sz w:val="24"/>
          <w:szCs w:val="24"/>
        </w:rPr>
      </w:pPr>
    </w:p>
    <w:p w:rsidR="004E59F4" w:rsidRDefault="00273D75">
      <w:pPr>
        <w:spacing w:line="300" w:lineRule="auto"/>
        <w:jc w:val="both"/>
        <w:rPr>
          <w:rFonts w:ascii="Calibri" w:hAnsi="Calibri"/>
          <w:b/>
          <w:bCs/>
          <w:color w:val="000000"/>
          <w:sz w:val="24"/>
          <w:szCs w:val="24"/>
        </w:rPr>
      </w:pPr>
      <w:r>
        <w:rPr>
          <w:b/>
          <w:bCs/>
          <w:color w:val="000000"/>
          <w:sz w:val="24"/>
          <w:szCs w:val="24"/>
        </w:rPr>
        <w:t xml:space="preserve">Jeśli chodzi natomiast weryfikowanie przez PFRON ujęcia pojazdów w środki trwałe oraz w przypadku leasingu (weryfikacja sposobu ujęcia zakupu pojazdu w środki trwałe, ewentualnie leasing), to w pierwszej kolejności odwołać należy się tu do Wytycznych </w:t>
      </w:r>
      <w:proofErr w:type="spellStart"/>
      <w:r>
        <w:rPr>
          <w:b/>
          <w:bCs/>
          <w:color w:val="000000"/>
          <w:sz w:val="24"/>
          <w:szCs w:val="24"/>
        </w:rPr>
        <w:t>ws</w:t>
      </w:r>
      <w:proofErr w:type="spellEnd"/>
      <w:r>
        <w:rPr>
          <w:b/>
          <w:bCs/>
          <w:color w:val="000000"/>
          <w:sz w:val="24"/>
          <w:szCs w:val="24"/>
        </w:rPr>
        <w:t xml:space="preserve">. kwalifikowalności. </w:t>
      </w:r>
    </w:p>
    <w:p w:rsidR="004E59F4" w:rsidRDefault="00273D75">
      <w:pPr>
        <w:spacing w:line="300" w:lineRule="auto"/>
        <w:jc w:val="both"/>
        <w:rPr>
          <w:rFonts w:ascii="Calibri" w:hAnsi="Calibri"/>
          <w:color w:val="000000"/>
          <w:sz w:val="24"/>
          <w:szCs w:val="24"/>
        </w:rPr>
      </w:pPr>
      <w:r>
        <w:rPr>
          <w:color w:val="000000"/>
          <w:sz w:val="24"/>
          <w:szCs w:val="24"/>
        </w:rPr>
        <w:t xml:space="preserve">Zgodnie z tymi Wytycznymi, „środki trwałe” definiuje się zgodnie z art. 3 ust. 1 pkt 15 ustawy z dnia 29 września 1994 r. o rachunkowości </w:t>
      </w:r>
      <w:r>
        <w:rPr>
          <w:i/>
          <w:iCs/>
          <w:color w:val="000000"/>
          <w:sz w:val="24"/>
          <w:szCs w:val="24"/>
        </w:rPr>
        <w:t xml:space="preserve">(Dz. U. z 2019 r. poz. 351, z </w:t>
      </w:r>
      <w:proofErr w:type="spellStart"/>
      <w:r>
        <w:rPr>
          <w:i/>
          <w:iCs/>
          <w:color w:val="000000"/>
          <w:sz w:val="24"/>
          <w:szCs w:val="24"/>
        </w:rPr>
        <w:t>póżn</w:t>
      </w:r>
      <w:proofErr w:type="spellEnd"/>
      <w:r>
        <w:rPr>
          <w:i/>
          <w:iCs/>
          <w:color w:val="000000"/>
          <w:sz w:val="24"/>
          <w:szCs w:val="24"/>
        </w:rPr>
        <w:t>. zm.).</w:t>
      </w:r>
      <w:r>
        <w:rPr>
          <w:color w:val="000000"/>
          <w:sz w:val="24"/>
          <w:szCs w:val="24"/>
        </w:rPr>
        <w:t xml:space="preserve"> Rozumie się zatem przez to, z zastrzeżeniem inwestycji, o których mowa w art. 3 ust. 1 pkt 17 tej ustawy,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p>
    <w:p w:rsidR="004E59F4" w:rsidRDefault="004E59F4">
      <w:pPr>
        <w:spacing w:line="300" w:lineRule="auto"/>
        <w:jc w:val="both"/>
        <w:rPr>
          <w:rFonts w:ascii="Calibri" w:hAnsi="Calibri"/>
          <w:color w:val="ED1C24"/>
          <w:sz w:val="24"/>
          <w:szCs w:val="24"/>
        </w:rPr>
      </w:pPr>
    </w:p>
    <w:p w:rsidR="004E59F4" w:rsidRDefault="00273D75">
      <w:pPr>
        <w:spacing w:line="300" w:lineRule="auto"/>
        <w:jc w:val="both"/>
      </w:pPr>
      <w:r>
        <w:rPr>
          <w:color w:val="000000"/>
          <w:sz w:val="24"/>
          <w:szCs w:val="24"/>
        </w:rPr>
        <w:t>Zasadniczo zatem, jeśli JST zakupi pojazd (środek transportu) o przewidywanym okresie ekonomicznej użyteczności dłuższym niż rok oraz będzie on kompletny, zdatny do użytku i przeznaczony na potrzeby realizacji usług transportowych, to podlegał on będzie ujęciu jako środek trwały.</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color w:val="000000"/>
          <w:sz w:val="24"/>
          <w:szCs w:val="24"/>
        </w:rPr>
      </w:pPr>
      <w:r>
        <w:rPr>
          <w:color w:val="000000"/>
          <w:sz w:val="24"/>
          <w:szCs w:val="24"/>
        </w:rPr>
        <w:t>Z kolei, zgodnie z ww. Wytycznymi, do współfinansowania kwalifikują się wydatki poniesione w związku z następującymi formami leasingu:</w:t>
      </w:r>
    </w:p>
    <w:p w:rsidR="004E59F4" w:rsidRDefault="00273D75">
      <w:pPr>
        <w:spacing w:line="300" w:lineRule="auto"/>
        <w:jc w:val="both"/>
        <w:rPr>
          <w:rFonts w:ascii="Calibri" w:hAnsi="Calibri"/>
          <w:color w:val="000000"/>
          <w:sz w:val="24"/>
          <w:szCs w:val="24"/>
        </w:rPr>
      </w:pPr>
      <w:r>
        <w:rPr>
          <w:color w:val="000000"/>
          <w:sz w:val="24"/>
          <w:szCs w:val="24"/>
        </w:rPr>
        <w:t>„a) leasing finansowy – istotą leasingu finansowego, zgodnie z KSR nr 5 „Leasing, najem i dzierżawa”, jest taka umowa leasingu, w ramach której ryzyko oraz pożytki z tytułu korzystania z przedmiotu leasingu przeniesione są na leasingobiorcę (beneficjenta współfinansowanego projektu). Umowa ta często zawiera opcję nabycia przedmiotu leasingu lub przewiduje minimalny okres leasingowy odpowiadający okresowi użytkowania aktywów, będących przedmiotem leasingu,</w:t>
      </w:r>
    </w:p>
    <w:p w:rsidR="004E59F4" w:rsidRDefault="00273D75">
      <w:pPr>
        <w:spacing w:line="300" w:lineRule="auto"/>
        <w:jc w:val="both"/>
      </w:pPr>
      <w:r>
        <w:rPr>
          <w:color w:val="000000"/>
          <w:sz w:val="24"/>
          <w:szCs w:val="24"/>
        </w:rPr>
        <w:t>b) leasing operacyjny – istotą leasingu operacyjnego, zgodnie z KSR nr 5 „Leasing, najem i dzierżawa”, jest taka umowa leasingu, w ramach której ryzyko oraz pożytki z tytułu posiadania przedmiotu leasingu nie są zasadniczo w całości przeniesione na leasingobiorcę (beneficjenta), a okres użytkowania przedmiotu leasingu może być krótszy niż okres jego gospodarczej używalności (okres amortyzacji),</w:t>
      </w:r>
    </w:p>
    <w:p w:rsidR="004E59F4" w:rsidRDefault="00273D75">
      <w:pPr>
        <w:spacing w:line="300" w:lineRule="auto"/>
        <w:jc w:val="both"/>
        <w:rPr>
          <w:rFonts w:ascii="Calibri" w:hAnsi="Calibri"/>
          <w:color w:val="000000"/>
          <w:sz w:val="24"/>
          <w:szCs w:val="24"/>
        </w:rPr>
      </w:pPr>
      <w:r>
        <w:rPr>
          <w:color w:val="000000"/>
          <w:sz w:val="24"/>
          <w:szCs w:val="24"/>
        </w:rPr>
        <w:t>c) leasing zwrotny – istotą leasingu zwrotnego, zgodnie z KSR nr 5 „Leasing, najem i dzierżawa”, jest powiązanie umowy leasingu z poprzedzającą ją umową sprzedaży. W przypadku zawarcia transakcji leasingu zwrotnego, beneficjent sprzedaje posiadane dobro firmie leasingowej i równocześnie uzyskuje prawo do jego dalszego użytkowania na warunkach ustalonych w umowie leasingu. Dzięki takiej operacji beneficjent, pomimo sprzedaży danego dobra leasingodawcy, nadal z niego korzysta, płacąc raty leasingowe związane z jego użytkowaniem.”</w:t>
      </w:r>
    </w:p>
    <w:p w:rsidR="004E59F4" w:rsidRDefault="004E59F4">
      <w:pPr>
        <w:spacing w:line="300" w:lineRule="auto"/>
        <w:jc w:val="both"/>
        <w:rPr>
          <w:rFonts w:ascii="Calibri" w:hAnsi="Calibri"/>
          <w:color w:val="ED1C24"/>
          <w:sz w:val="24"/>
          <w:szCs w:val="24"/>
        </w:rPr>
      </w:pPr>
    </w:p>
    <w:p w:rsidR="004E59F4" w:rsidRDefault="00273D75">
      <w:pPr>
        <w:spacing w:line="300" w:lineRule="auto"/>
        <w:jc w:val="both"/>
        <w:rPr>
          <w:rFonts w:ascii="Calibri" w:hAnsi="Calibri"/>
          <w:color w:val="000000"/>
          <w:sz w:val="24"/>
          <w:szCs w:val="24"/>
        </w:rPr>
      </w:pPr>
      <w:r>
        <w:rPr>
          <w:color w:val="000000"/>
          <w:sz w:val="24"/>
          <w:szCs w:val="24"/>
        </w:rPr>
        <w:t>Przy czym, wskazać należy tu także na art. 3 ust. 4 powołanej powyżej ustawy o rachunkowości. Zgodnie bowiem z tym przepisem, jeżeli jednostka przyjęła do używania obce środki trwałe lub wartości niematerialne i prawne na mocy umowy, zgodnie z którą jedna ze stron, zwana dalej "finansującym", oddaje drugiej stronie, zwanej dalej "korzystającym", środki trwałe lub wartości niematerialne i prawne do odpłatnego używania lub również pobierania pożytków na czas oznaczony, środki te i wartości zalicza się do aktywów trwałych korzystającego, jeżeli umowa spełnia co najmniej jeden z następujących warunków:</w:t>
      </w:r>
    </w:p>
    <w:p w:rsidR="004E59F4" w:rsidRDefault="00273D75">
      <w:pPr>
        <w:spacing w:line="300" w:lineRule="auto"/>
        <w:jc w:val="both"/>
        <w:rPr>
          <w:rFonts w:ascii="Calibri" w:hAnsi="Calibri"/>
          <w:color w:val="000000"/>
          <w:sz w:val="24"/>
          <w:szCs w:val="24"/>
        </w:rPr>
      </w:pPr>
      <w:r>
        <w:rPr>
          <w:color w:val="000000"/>
          <w:sz w:val="24"/>
          <w:szCs w:val="24"/>
        </w:rPr>
        <w:t>1) przenosi własność jej przedmiotu na korzystającego po zakończeniu okresu, na który została zawarta;</w:t>
      </w:r>
    </w:p>
    <w:p w:rsidR="004E59F4" w:rsidRDefault="00273D75">
      <w:pPr>
        <w:spacing w:line="300" w:lineRule="auto"/>
        <w:jc w:val="both"/>
        <w:rPr>
          <w:rFonts w:ascii="Calibri" w:hAnsi="Calibri"/>
          <w:color w:val="000000"/>
          <w:sz w:val="24"/>
          <w:szCs w:val="24"/>
        </w:rPr>
      </w:pPr>
      <w:r>
        <w:rPr>
          <w:color w:val="000000"/>
          <w:sz w:val="24"/>
          <w:szCs w:val="24"/>
        </w:rPr>
        <w:t>2) zawiera prawo do nabycia jej przedmiotu przez korzystającego, po zakończeniu okresu, na jaki została zawarta, po cenie niższej od wartości rynkowej z dnia nabycia;</w:t>
      </w:r>
    </w:p>
    <w:p w:rsidR="004E59F4" w:rsidRDefault="00273D75">
      <w:pPr>
        <w:spacing w:line="300" w:lineRule="auto"/>
        <w:jc w:val="both"/>
        <w:rPr>
          <w:rFonts w:ascii="Calibri" w:hAnsi="Calibri"/>
          <w:color w:val="000000"/>
          <w:sz w:val="24"/>
          <w:szCs w:val="24"/>
        </w:rPr>
      </w:pPr>
      <w:r>
        <w:rPr>
          <w:color w:val="000000"/>
          <w:sz w:val="24"/>
          <w:szCs w:val="24"/>
        </w:rPr>
        <w:t xml:space="preserve">3) okres, na jaki została zawarta, odpowiada w przeważającej części przewidywanemu okresowi ekonomicznej użyteczności środka trwałego lub prawa majątkowego, przy czym nie </w:t>
      </w:r>
      <w:r>
        <w:rPr>
          <w:color w:val="000000"/>
          <w:sz w:val="24"/>
          <w:szCs w:val="24"/>
        </w:rPr>
        <w:lastRenderedPageBreak/>
        <w:t>może być on krótszy niż 3/4 tego okresu. Prawo własności przedmiotu umowy może być, po okresie, na jaki umowa została zawarta, przeniesione na korzystającego;</w:t>
      </w:r>
    </w:p>
    <w:p w:rsidR="004E59F4" w:rsidRDefault="00273D75">
      <w:pPr>
        <w:spacing w:line="300" w:lineRule="auto"/>
        <w:jc w:val="both"/>
        <w:rPr>
          <w:rFonts w:ascii="Calibri" w:hAnsi="Calibri"/>
          <w:color w:val="000000"/>
          <w:sz w:val="24"/>
          <w:szCs w:val="24"/>
        </w:rPr>
      </w:pPr>
      <w:r>
        <w:rPr>
          <w:color w:val="000000"/>
          <w:sz w:val="24"/>
          <w:szCs w:val="24"/>
        </w:rPr>
        <w:t>4) suma opłat, pomniejszonych o dyskonto, ustalona w dniu zawarcia umowy i przypadająca do zapłaty w okresie jej obowiązywania, przekracza 90% wartości rynkowej przedmiotu umowy na ten dzień. W sumie opłat uwzględnia się wartość końcową przedmiotu umowy, którą korzystający zobowiązuje się zapłacić za przeniesienie na niego własności tego przedmiotu. Do sumy opłat nie zalicza się płatności na rzecz finansującego za świadczenia dodatkowe, podatków oraz składek na ubezpieczenie tego przedmiotu, jeżeli korzystający pokrywa je niezależnie od opłat za używanie;</w:t>
      </w:r>
    </w:p>
    <w:p w:rsidR="004E59F4" w:rsidRDefault="00273D75">
      <w:pPr>
        <w:spacing w:line="300" w:lineRule="auto"/>
        <w:jc w:val="both"/>
        <w:rPr>
          <w:rFonts w:ascii="Calibri" w:hAnsi="Calibri"/>
          <w:color w:val="000000"/>
          <w:sz w:val="24"/>
          <w:szCs w:val="24"/>
        </w:rPr>
      </w:pPr>
      <w:r>
        <w:rPr>
          <w:color w:val="000000"/>
          <w:sz w:val="24"/>
          <w:szCs w:val="24"/>
        </w:rPr>
        <w:t>5) zawiera przyrzeczenie finansującego do zawarcia z korzystającym kolejnej umowy o oddanie w odpłatne używanie tego samego przedmiotu lub przedłużenia umowy dotychczasowej, na warunkach korzystniejszych od przewidzianych w dotychczasowej umowie;</w:t>
      </w:r>
    </w:p>
    <w:p w:rsidR="004E59F4" w:rsidRDefault="00273D75">
      <w:pPr>
        <w:spacing w:line="300" w:lineRule="auto"/>
        <w:jc w:val="both"/>
        <w:rPr>
          <w:rFonts w:ascii="Calibri" w:hAnsi="Calibri"/>
          <w:color w:val="000000"/>
          <w:sz w:val="24"/>
          <w:szCs w:val="24"/>
        </w:rPr>
      </w:pPr>
      <w:r>
        <w:rPr>
          <w:color w:val="000000"/>
          <w:sz w:val="24"/>
          <w:szCs w:val="24"/>
        </w:rPr>
        <w:t>6) przewiduje możliwość jej wypowiedzenia, z zastrzeżeniem, że wszelkie powstałe z tego tytułu koszty i straty poniesione przez finansującego pokrywa korzystający;</w:t>
      </w:r>
    </w:p>
    <w:p w:rsidR="004E59F4" w:rsidRDefault="00273D75">
      <w:pPr>
        <w:spacing w:line="300" w:lineRule="auto"/>
        <w:jc w:val="both"/>
        <w:rPr>
          <w:rFonts w:ascii="Calibri" w:hAnsi="Calibri"/>
          <w:color w:val="000000"/>
          <w:sz w:val="24"/>
          <w:szCs w:val="24"/>
        </w:rPr>
      </w:pPr>
      <w:r>
        <w:rPr>
          <w:color w:val="000000"/>
          <w:sz w:val="24"/>
          <w:szCs w:val="24"/>
        </w:rPr>
        <w:t>7) przedmiot umowy został dostosowany do indywidualnych potrzeb korzystającego. Może on być używany wyłącznie przez korzystającego, bez wprowadzania w nim istotnych zmian.</w:t>
      </w:r>
    </w:p>
    <w:p w:rsidR="004E59F4" w:rsidRDefault="004E59F4">
      <w:pPr>
        <w:spacing w:line="300" w:lineRule="auto"/>
        <w:jc w:val="both"/>
        <w:rPr>
          <w:rFonts w:ascii="Calibri" w:hAnsi="Calibri"/>
          <w:color w:val="ED1C24"/>
          <w:sz w:val="24"/>
          <w:szCs w:val="24"/>
        </w:rPr>
      </w:pPr>
    </w:p>
    <w:p w:rsidR="004E59F4" w:rsidRDefault="00273D75">
      <w:pPr>
        <w:spacing w:line="300" w:lineRule="auto"/>
        <w:jc w:val="both"/>
        <w:rPr>
          <w:rFonts w:ascii="Calibri" w:hAnsi="Calibri"/>
          <w:color w:val="000000"/>
          <w:sz w:val="24"/>
          <w:szCs w:val="24"/>
        </w:rPr>
      </w:pPr>
      <w:r>
        <w:rPr>
          <w:color w:val="000000"/>
          <w:sz w:val="24"/>
          <w:szCs w:val="24"/>
        </w:rPr>
        <w:t>W zależności od konkretnych postanowień umowy z leasingodawcą może się zatem okazać, iż JST, która nie zakupiła pojazdu, a wzięła go w leasing, także będzie zobligowana do zaliczenia tego pojazdu do swoich aktywów (środków) trwałych.</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pPr>
      <w:r>
        <w:rPr>
          <w:color w:val="000000"/>
          <w:sz w:val="24"/>
          <w:szCs w:val="24"/>
        </w:rPr>
        <w:t>Weryfikacja w powyższym zakresie powinna zatem odbywać się w oparciu o:</w:t>
      </w:r>
    </w:p>
    <w:p w:rsidR="004E59F4" w:rsidRDefault="00273D75">
      <w:pPr>
        <w:spacing w:line="300" w:lineRule="auto"/>
        <w:jc w:val="both"/>
        <w:rPr>
          <w:rFonts w:ascii="Calibri" w:hAnsi="Calibri"/>
          <w:color w:val="000000"/>
          <w:sz w:val="24"/>
          <w:szCs w:val="24"/>
        </w:rPr>
      </w:pPr>
      <w:r>
        <w:rPr>
          <w:color w:val="000000"/>
          <w:sz w:val="24"/>
          <w:szCs w:val="24"/>
        </w:rPr>
        <w:t>- umowę sprzedaży (zamówienie),</w:t>
      </w:r>
    </w:p>
    <w:p w:rsidR="004E59F4" w:rsidRDefault="00273D75">
      <w:pPr>
        <w:spacing w:line="300" w:lineRule="auto"/>
        <w:jc w:val="both"/>
        <w:rPr>
          <w:rFonts w:ascii="Calibri" w:hAnsi="Calibri"/>
          <w:color w:val="000000"/>
          <w:sz w:val="24"/>
          <w:szCs w:val="24"/>
        </w:rPr>
      </w:pPr>
      <w:r>
        <w:rPr>
          <w:color w:val="000000"/>
          <w:sz w:val="24"/>
          <w:szCs w:val="24"/>
        </w:rPr>
        <w:t>- protokół odbioru (jeżeli był sporządzany),</w:t>
      </w:r>
    </w:p>
    <w:p w:rsidR="004E59F4" w:rsidRDefault="00273D75">
      <w:pPr>
        <w:spacing w:line="300" w:lineRule="auto"/>
        <w:jc w:val="both"/>
        <w:rPr>
          <w:rFonts w:ascii="Calibri" w:hAnsi="Calibri"/>
          <w:color w:val="000000"/>
          <w:sz w:val="24"/>
          <w:szCs w:val="24"/>
        </w:rPr>
      </w:pPr>
      <w:r>
        <w:rPr>
          <w:color w:val="000000"/>
          <w:sz w:val="24"/>
          <w:szCs w:val="24"/>
        </w:rPr>
        <w:t>- uzyskanie wymaganych dokumentów stwierdzających dopuszczenie pojazdu do ruchu  (dowód rejestracyjny),</w:t>
      </w:r>
    </w:p>
    <w:p w:rsidR="004E59F4" w:rsidRDefault="00273D75">
      <w:pPr>
        <w:spacing w:line="300" w:lineRule="auto"/>
        <w:jc w:val="both"/>
      </w:pPr>
      <w:r>
        <w:rPr>
          <w:color w:val="000000"/>
          <w:sz w:val="24"/>
          <w:szCs w:val="24"/>
        </w:rPr>
        <w:t>- fakturę wystawioną przez sprzedawcę, opisaną przez wnioskodawcę,</w:t>
      </w:r>
    </w:p>
    <w:p w:rsidR="004E59F4" w:rsidRDefault="00273D75">
      <w:pPr>
        <w:spacing w:line="300" w:lineRule="auto"/>
        <w:jc w:val="both"/>
        <w:rPr>
          <w:rFonts w:ascii="Calibri" w:hAnsi="Calibri"/>
          <w:color w:val="000000"/>
          <w:sz w:val="24"/>
          <w:szCs w:val="24"/>
        </w:rPr>
      </w:pPr>
      <w:r>
        <w:rPr>
          <w:color w:val="000000"/>
          <w:sz w:val="24"/>
          <w:szCs w:val="24"/>
        </w:rPr>
        <w:t>- dowód zapłaty,</w:t>
      </w:r>
    </w:p>
    <w:p w:rsidR="004E59F4" w:rsidRDefault="00273D75">
      <w:pPr>
        <w:spacing w:line="300" w:lineRule="auto"/>
        <w:jc w:val="both"/>
        <w:rPr>
          <w:rFonts w:ascii="Calibri" w:hAnsi="Calibri"/>
          <w:color w:val="000000"/>
          <w:sz w:val="24"/>
          <w:szCs w:val="24"/>
        </w:rPr>
      </w:pPr>
      <w:r>
        <w:rPr>
          <w:color w:val="000000"/>
          <w:sz w:val="24"/>
          <w:szCs w:val="24"/>
        </w:rPr>
        <w:t>- ewidencję środków trwałych,</w:t>
      </w:r>
    </w:p>
    <w:p w:rsidR="004E59F4" w:rsidRDefault="00273D75">
      <w:pPr>
        <w:spacing w:line="300" w:lineRule="auto"/>
        <w:jc w:val="both"/>
        <w:rPr>
          <w:rFonts w:ascii="Calibri" w:hAnsi="Calibri"/>
          <w:color w:val="000000"/>
          <w:sz w:val="24"/>
          <w:szCs w:val="24"/>
        </w:rPr>
      </w:pPr>
      <w:r>
        <w:rPr>
          <w:color w:val="000000"/>
          <w:sz w:val="24"/>
          <w:szCs w:val="24"/>
        </w:rPr>
        <w:t>- przyjęte zasady (politykę) rachunkowości,</w:t>
      </w:r>
    </w:p>
    <w:p w:rsidR="004E59F4" w:rsidRDefault="00273D75">
      <w:pPr>
        <w:spacing w:line="300" w:lineRule="auto"/>
        <w:jc w:val="both"/>
        <w:rPr>
          <w:rFonts w:ascii="Calibri" w:hAnsi="Calibri"/>
          <w:color w:val="000000"/>
          <w:sz w:val="24"/>
          <w:szCs w:val="24"/>
        </w:rPr>
      </w:pPr>
      <w:r>
        <w:rPr>
          <w:color w:val="000000"/>
          <w:sz w:val="24"/>
          <w:szCs w:val="24"/>
        </w:rPr>
        <w:t>a ponadto przy leasingu także:</w:t>
      </w:r>
    </w:p>
    <w:p w:rsidR="004E59F4" w:rsidRDefault="00273D75">
      <w:pPr>
        <w:spacing w:line="300" w:lineRule="auto"/>
        <w:jc w:val="both"/>
        <w:rPr>
          <w:rFonts w:ascii="Calibri" w:hAnsi="Calibri"/>
          <w:color w:val="000000"/>
          <w:sz w:val="24"/>
          <w:szCs w:val="24"/>
        </w:rPr>
      </w:pPr>
      <w:r>
        <w:rPr>
          <w:color w:val="000000"/>
          <w:sz w:val="24"/>
          <w:szCs w:val="24"/>
        </w:rPr>
        <w:t>- umowę leasingu</w:t>
      </w:r>
    </w:p>
    <w:p w:rsidR="004E59F4" w:rsidRDefault="00273D75">
      <w:pPr>
        <w:spacing w:line="300" w:lineRule="auto"/>
        <w:jc w:val="both"/>
        <w:rPr>
          <w:rFonts w:ascii="Calibri" w:hAnsi="Calibri"/>
          <w:color w:val="000000"/>
          <w:sz w:val="24"/>
          <w:szCs w:val="24"/>
        </w:rPr>
      </w:pPr>
      <w:r>
        <w:rPr>
          <w:color w:val="000000"/>
          <w:sz w:val="24"/>
          <w:szCs w:val="24"/>
        </w:rPr>
        <w:t xml:space="preserve">- fakturę (za przedmiot leasingu) lub faktury (za poszczególne raty leasingowe) wystawione przez leasingodawcę, opisane przez </w:t>
      </w:r>
      <w:proofErr w:type="spellStart"/>
      <w:r>
        <w:rPr>
          <w:color w:val="000000"/>
          <w:sz w:val="24"/>
          <w:szCs w:val="24"/>
        </w:rPr>
        <w:t>grantobiorcę</w:t>
      </w:r>
      <w:proofErr w:type="spellEnd"/>
      <w:r>
        <w:rPr>
          <w:color w:val="000000"/>
          <w:sz w:val="24"/>
          <w:szCs w:val="24"/>
        </w:rPr>
        <w:t>,</w:t>
      </w:r>
    </w:p>
    <w:p w:rsidR="004E59F4" w:rsidRDefault="00273D75">
      <w:pPr>
        <w:spacing w:line="300" w:lineRule="auto"/>
        <w:jc w:val="both"/>
        <w:rPr>
          <w:rFonts w:ascii="Calibri" w:hAnsi="Calibri"/>
          <w:color w:val="000000"/>
          <w:sz w:val="24"/>
          <w:szCs w:val="24"/>
        </w:rPr>
      </w:pPr>
      <w:r>
        <w:rPr>
          <w:color w:val="000000"/>
          <w:sz w:val="24"/>
          <w:szCs w:val="24"/>
        </w:rPr>
        <w:lastRenderedPageBreak/>
        <w:t>- harmonogram spłaty rat leasingowych,</w:t>
      </w:r>
    </w:p>
    <w:p w:rsidR="004E59F4" w:rsidRDefault="00273D75">
      <w:pPr>
        <w:spacing w:line="300" w:lineRule="auto"/>
        <w:jc w:val="both"/>
        <w:rPr>
          <w:rFonts w:ascii="Calibri" w:hAnsi="Calibri"/>
          <w:color w:val="000000"/>
          <w:sz w:val="24"/>
          <w:szCs w:val="24"/>
        </w:rPr>
      </w:pPr>
      <w:r>
        <w:rPr>
          <w:color w:val="000000"/>
          <w:sz w:val="24"/>
          <w:szCs w:val="24"/>
        </w:rPr>
        <w:t>- dowody zapłaty rat leasingowych.</w:t>
      </w:r>
    </w:p>
    <w:p w:rsidR="004E59F4" w:rsidRDefault="004E59F4">
      <w:pPr>
        <w:spacing w:line="300" w:lineRule="auto"/>
        <w:jc w:val="both"/>
        <w:rPr>
          <w:rFonts w:ascii="Calibri" w:hAnsi="Calibri"/>
          <w:b/>
          <w:bCs/>
          <w:color w:val="000000"/>
          <w:sz w:val="24"/>
          <w:szCs w:val="24"/>
        </w:rPr>
      </w:pPr>
    </w:p>
    <w:p w:rsidR="004E59F4" w:rsidRDefault="004E59F4">
      <w:pPr>
        <w:spacing w:line="300" w:lineRule="auto"/>
        <w:jc w:val="both"/>
        <w:rPr>
          <w:rFonts w:ascii="Calibri" w:hAnsi="Calibri"/>
          <w:b/>
          <w:bCs/>
          <w:color w:val="000000"/>
          <w:sz w:val="24"/>
          <w:szCs w:val="24"/>
        </w:rPr>
      </w:pPr>
    </w:p>
    <w:p w:rsidR="004E59F4" w:rsidRDefault="00273D75">
      <w:pPr>
        <w:spacing w:line="300" w:lineRule="auto"/>
        <w:jc w:val="both"/>
      </w:pPr>
      <w:r>
        <w:rPr>
          <w:b/>
          <w:bCs/>
          <w:color w:val="000000"/>
          <w:sz w:val="24"/>
          <w:szCs w:val="24"/>
        </w:rPr>
        <w:t>8.2. A</w:t>
      </w:r>
      <w:r>
        <w:rPr>
          <w:b/>
          <w:bCs/>
          <w:sz w:val="24"/>
          <w:szCs w:val="24"/>
        </w:rPr>
        <w:t xml:space="preserve">naliza ewentualnych </w:t>
      </w:r>
      <w:proofErr w:type="spellStart"/>
      <w:r>
        <w:rPr>
          <w:b/>
          <w:bCs/>
          <w:sz w:val="24"/>
          <w:szCs w:val="24"/>
        </w:rPr>
        <w:t>ryzyk</w:t>
      </w:r>
      <w:proofErr w:type="spellEnd"/>
      <w:r>
        <w:rPr>
          <w:b/>
          <w:bCs/>
          <w:sz w:val="24"/>
          <w:szCs w:val="24"/>
        </w:rPr>
        <w:t>, związanych  z  uznaniem  VAT  za  wydatek kwalifikowalny,  jeżeli  zaistnieją  przesłanki umożliwiające odzyskanie tego podatku</w:t>
      </w:r>
    </w:p>
    <w:p w:rsidR="004E59F4" w:rsidRDefault="004E59F4">
      <w:pPr>
        <w:spacing w:line="300" w:lineRule="auto"/>
        <w:jc w:val="both"/>
        <w:rPr>
          <w:color w:val="000000"/>
        </w:rPr>
      </w:pPr>
    </w:p>
    <w:p w:rsidR="004E59F4" w:rsidRDefault="00273D75">
      <w:pPr>
        <w:spacing w:line="300" w:lineRule="auto"/>
        <w:jc w:val="both"/>
      </w:pPr>
      <w:r>
        <w:rPr>
          <w:color w:val="000000"/>
          <w:sz w:val="24"/>
          <w:szCs w:val="24"/>
        </w:rPr>
        <w:t xml:space="preserve">Wskazać należy także na </w:t>
      </w:r>
      <w:r>
        <w:rPr>
          <w:b/>
          <w:bCs/>
          <w:color w:val="000000"/>
          <w:sz w:val="24"/>
          <w:szCs w:val="24"/>
        </w:rPr>
        <w:t>ewentualne ryzyka</w:t>
      </w:r>
      <w:r>
        <w:rPr>
          <w:color w:val="000000"/>
          <w:sz w:val="24"/>
          <w:szCs w:val="24"/>
        </w:rPr>
        <w:t xml:space="preserve"> </w:t>
      </w:r>
      <w:r>
        <w:rPr>
          <w:b/>
          <w:bCs/>
          <w:color w:val="000000"/>
          <w:sz w:val="24"/>
          <w:szCs w:val="24"/>
        </w:rPr>
        <w:t xml:space="preserve">związane  z  uznaniem  VAT  za  wydatek kwalifikowalny </w:t>
      </w:r>
      <w:r>
        <w:rPr>
          <w:color w:val="000000"/>
          <w:sz w:val="24"/>
          <w:szCs w:val="24"/>
        </w:rPr>
        <w:t xml:space="preserve">w ramach grantu w przypadku tych JST, które przedstawią oświadczenie, iż realizując projekt nie  mają  prawnej  możliwości  jego  odzyskania  na  mocy  prawodawstwa krajowego  oraz zobowiążą  się  do  zwrotu  zrefundowanej  już w  ramach projektu części poniesionego  VAT (wynikającego  z zapisów  budżetu  projektu), </w:t>
      </w:r>
      <w:r>
        <w:rPr>
          <w:b/>
          <w:bCs/>
          <w:color w:val="000000"/>
          <w:sz w:val="24"/>
          <w:szCs w:val="24"/>
        </w:rPr>
        <w:t xml:space="preserve"> jeżeli  zaistnieją  przesłanki umożliwiające odzyskanie tego podatku.</w:t>
      </w:r>
    </w:p>
    <w:p w:rsidR="004E59F4" w:rsidRDefault="00273D75">
      <w:pPr>
        <w:spacing w:line="300" w:lineRule="auto"/>
        <w:jc w:val="both"/>
        <w:rPr>
          <w:rFonts w:ascii="Calibri" w:hAnsi="Calibri"/>
          <w:color w:val="000000"/>
          <w:sz w:val="24"/>
          <w:szCs w:val="24"/>
        </w:rPr>
      </w:pPr>
      <w:r>
        <w:rPr>
          <w:color w:val="000000"/>
          <w:sz w:val="24"/>
          <w:szCs w:val="24"/>
        </w:rPr>
        <w:t>Z uwagi na wskazane w treści niniejszej ekspertyzy wątpliwości dotyczące opodatkowania VAT usługi świadczonej przez JST (będące głównie wynikiem wątpliwości co do charakteru dotacji w aspekcie VAT) uznać należy, iż w analizowanym projekcie istnieje ryzyko w obszarze kwalifikowalności VAT.</w:t>
      </w:r>
    </w:p>
    <w:p w:rsidR="004E59F4" w:rsidRDefault="00273D75">
      <w:pPr>
        <w:spacing w:line="300" w:lineRule="auto"/>
        <w:jc w:val="both"/>
        <w:rPr>
          <w:rFonts w:ascii="Calibri" w:hAnsi="Calibri"/>
          <w:color w:val="000000"/>
          <w:sz w:val="24"/>
          <w:szCs w:val="24"/>
        </w:rPr>
      </w:pPr>
      <w:r>
        <w:rPr>
          <w:color w:val="000000"/>
          <w:sz w:val="24"/>
          <w:szCs w:val="24"/>
        </w:rPr>
        <w:t>W tym zakresie wiążę się ono jednak głównie ze złożeniem błędnego oświadczenia o kwalifikowalności VAT. Metodą na ograniczenie tego ryzyko będzie natomiast m.in. złożenie wniosku do DKIS o wydanie interpretacji przepisów prawa podatkowego. Nie odpowie ona rzecz jasna wprost na pytanie o samą kwalifikowalność, ale o istnienie prawa do odliczenia VAT.</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color w:val="000000"/>
          <w:sz w:val="24"/>
          <w:szCs w:val="24"/>
        </w:rPr>
      </w:pPr>
      <w:r>
        <w:rPr>
          <w:color w:val="000000"/>
          <w:sz w:val="24"/>
          <w:szCs w:val="24"/>
        </w:rPr>
        <w:t>Zagadnienie sformułowane przez PFRON dotyczy natomiast sytuacji, w  której zaistnieją  przesłanki umożliwiające odzyskanie tego podatku, tj. przypadku, gdy oświadczenie o kwalifikowalności podatku VAT zostało złożone pierwotnie w sposób prawidłowy.</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color w:val="000000"/>
          <w:sz w:val="24"/>
          <w:szCs w:val="24"/>
        </w:rPr>
      </w:pPr>
      <w:r>
        <w:rPr>
          <w:color w:val="000000"/>
          <w:sz w:val="24"/>
          <w:szCs w:val="24"/>
        </w:rPr>
        <w:t>Jeżeli po złożeniu oświadczenia o kwalifikowalności VAT (według którego nie istnieje prawna możliwość odliczenia/zwrotu VAT, a tym samym jest on kwalifikowalny) zaistnieją  przesłanki  umożliwiające odzyskanie podatku VAT, to sytuacja ta wiąże się z ryzykiem zwrotu części otrzymanego dofinansowania dotyczącej podatku VAT (dla której nabył prawo do odliczenia tego podatku) odpowiednio wraz z odsetkami naliczanymi jak dla zaległości podatkowych.</w:t>
      </w:r>
    </w:p>
    <w:p w:rsidR="004E59F4" w:rsidRDefault="00273D75">
      <w:pPr>
        <w:spacing w:line="300" w:lineRule="auto"/>
        <w:jc w:val="both"/>
        <w:rPr>
          <w:rFonts w:ascii="Calibri" w:hAnsi="Calibri"/>
          <w:color w:val="000000"/>
          <w:sz w:val="24"/>
          <w:szCs w:val="24"/>
        </w:rPr>
      </w:pPr>
      <w:r>
        <w:rPr>
          <w:color w:val="000000"/>
          <w:sz w:val="24"/>
          <w:szCs w:val="24"/>
        </w:rPr>
        <w:t xml:space="preserve">Wskazać należy, iż zgodnie z art. 35 ust 1 ustawy wdrożeniowej, w ramach programów operacyjnych mogą być realizowane projekty grantowe, a w myśl ust. 5 tego artykułu, grantem </w:t>
      </w:r>
      <w:r>
        <w:rPr>
          <w:color w:val="000000"/>
          <w:sz w:val="24"/>
          <w:szCs w:val="24"/>
        </w:rPr>
        <w:lastRenderedPageBreak/>
        <w:t xml:space="preserve">są środki finansowe programu operacyjnego, które beneficjent projektu grantowego powierzył </w:t>
      </w:r>
      <w:proofErr w:type="spellStart"/>
      <w:r>
        <w:rPr>
          <w:color w:val="000000"/>
          <w:sz w:val="24"/>
          <w:szCs w:val="24"/>
        </w:rPr>
        <w:t>grantobiorcy</w:t>
      </w:r>
      <w:proofErr w:type="spellEnd"/>
      <w:r>
        <w:rPr>
          <w:color w:val="000000"/>
          <w:sz w:val="24"/>
          <w:szCs w:val="24"/>
        </w:rPr>
        <w:t>, na realizację zadań, o których mowa w ust. 2.</w:t>
      </w:r>
    </w:p>
    <w:p w:rsidR="004E59F4" w:rsidRDefault="00273D75">
      <w:pPr>
        <w:spacing w:line="300" w:lineRule="auto"/>
        <w:jc w:val="both"/>
        <w:rPr>
          <w:rFonts w:ascii="Calibri" w:hAnsi="Calibri"/>
          <w:color w:val="000000"/>
          <w:sz w:val="24"/>
          <w:szCs w:val="24"/>
        </w:rPr>
      </w:pPr>
      <w:r>
        <w:rPr>
          <w:color w:val="000000"/>
          <w:sz w:val="24"/>
          <w:szCs w:val="24"/>
        </w:rPr>
        <w:t xml:space="preserve">Na gruncie ww. regulacji wskazuje się, iż </w:t>
      </w:r>
      <w:r>
        <w:rPr>
          <w:i/>
          <w:iCs/>
          <w:color w:val="000000"/>
          <w:sz w:val="24"/>
          <w:szCs w:val="24"/>
        </w:rPr>
        <w:t xml:space="preserve">„pojęcie „grantu” jako swoistego przysporzenia pieniężnego, mieści się w pojęciu dofinansowania i współfinansowania, o których mowa w art. 2 pkt 4, 30 i 31 ustawy wdrożeniowej (…) Grant przekazany </w:t>
      </w:r>
      <w:proofErr w:type="spellStart"/>
      <w:r>
        <w:rPr>
          <w:i/>
          <w:iCs/>
          <w:color w:val="000000"/>
          <w:sz w:val="24"/>
          <w:szCs w:val="24"/>
        </w:rPr>
        <w:t>grantobiorcy</w:t>
      </w:r>
      <w:proofErr w:type="spellEnd"/>
      <w:r>
        <w:rPr>
          <w:i/>
          <w:iCs/>
          <w:color w:val="000000"/>
          <w:sz w:val="24"/>
          <w:szCs w:val="24"/>
        </w:rPr>
        <w:t xml:space="preserve"> jest de facto częścią dofinansowania, które do swojej dyspozycji otrzymał beneficjent projektu grantowego” </w:t>
      </w:r>
      <w:r>
        <w:rPr>
          <w:color w:val="000000"/>
          <w:sz w:val="24"/>
          <w:szCs w:val="24"/>
        </w:rPr>
        <w:t xml:space="preserve">(por. </w:t>
      </w:r>
      <w:proofErr w:type="spellStart"/>
      <w:r>
        <w:rPr>
          <w:color w:val="000000"/>
          <w:sz w:val="24"/>
          <w:szCs w:val="24"/>
        </w:rPr>
        <w:t>R.Poździk</w:t>
      </w:r>
      <w:proofErr w:type="spellEnd"/>
      <w:r>
        <w:rPr>
          <w:color w:val="000000"/>
          <w:sz w:val="24"/>
          <w:szCs w:val="24"/>
        </w:rPr>
        <w:t xml:space="preserve"> (red.), </w:t>
      </w:r>
      <w:r>
        <w:rPr>
          <w:i/>
          <w:iCs/>
          <w:color w:val="000000"/>
          <w:sz w:val="24"/>
          <w:szCs w:val="24"/>
        </w:rPr>
        <w:t xml:space="preserve">Komentarz do ustawy o zasadach realizacji programów w zakresie polityki spójności finansowanych w perspektywie finansowej 2014-2020, </w:t>
      </w:r>
      <w:r>
        <w:rPr>
          <w:color w:val="000000"/>
          <w:sz w:val="24"/>
          <w:szCs w:val="24"/>
        </w:rPr>
        <w:t>Wydawnictwo Sejmowe 2016).</w:t>
      </w:r>
    </w:p>
    <w:p w:rsidR="004E59F4" w:rsidRDefault="00273D75">
      <w:pPr>
        <w:spacing w:line="300" w:lineRule="auto"/>
        <w:jc w:val="both"/>
        <w:rPr>
          <w:rFonts w:ascii="Calibri" w:hAnsi="Calibri"/>
          <w:color w:val="000000"/>
          <w:sz w:val="24"/>
          <w:szCs w:val="24"/>
        </w:rPr>
      </w:pPr>
      <w:r>
        <w:rPr>
          <w:color w:val="000000"/>
          <w:sz w:val="24"/>
          <w:szCs w:val="24"/>
        </w:rPr>
        <w:t xml:space="preserve">Konsekwencją powyższego jest zatem i to, że w stosunku do grantobiorców mogą być zastosowane przepisy art. 207 ustawy z dnia 27 sierpnia 2009 r. </w:t>
      </w:r>
      <w:r>
        <w:rPr>
          <w:i/>
          <w:iCs/>
          <w:color w:val="000000"/>
          <w:sz w:val="24"/>
          <w:szCs w:val="24"/>
        </w:rPr>
        <w:t>(</w:t>
      </w:r>
      <w:proofErr w:type="spellStart"/>
      <w:r>
        <w:rPr>
          <w:i/>
          <w:iCs/>
          <w:color w:val="000000"/>
          <w:sz w:val="24"/>
          <w:szCs w:val="24"/>
        </w:rPr>
        <w:t>t.j</w:t>
      </w:r>
      <w:proofErr w:type="spellEnd"/>
      <w:r>
        <w:rPr>
          <w:i/>
          <w:iCs/>
          <w:color w:val="000000"/>
          <w:sz w:val="24"/>
          <w:szCs w:val="24"/>
        </w:rPr>
        <w:t xml:space="preserve">. Dz.U. z 2019 r. poz. 2019 z </w:t>
      </w:r>
      <w:proofErr w:type="spellStart"/>
      <w:r>
        <w:rPr>
          <w:i/>
          <w:iCs/>
          <w:color w:val="000000"/>
          <w:sz w:val="24"/>
          <w:szCs w:val="24"/>
        </w:rPr>
        <w:t>późn</w:t>
      </w:r>
      <w:proofErr w:type="spellEnd"/>
      <w:r>
        <w:rPr>
          <w:i/>
          <w:iCs/>
          <w:color w:val="000000"/>
          <w:sz w:val="24"/>
          <w:szCs w:val="24"/>
        </w:rPr>
        <w:t xml:space="preserve">. </w:t>
      </w:r>
      <w:proofErr w:type="spellStart"/>
      <w:r>
        <w:rPr>
          <w:i/>
          <w:iCs/>
          <w:color w:val="000000"/>
          <w:sz w:val="24"/>
          <w:szCs w:val="24"/>
        </w:rPr>
        <w:t>zm</w:t>
      </w:r>
      <w:proofErr w:type="spellEnd"/>
      <w:r>
        <w:rPr>
          <w:i/>
          <w:iCs/>
          <w:color w:val="000000"/>
          <w:sz w:val="24"/>
          <w:szCs w:val="24"/>
        </w:rPr>
        <w:t>)</w:t>
      </w:r>
      <w:r>
        <w:rPr>
          <w:color w:val="000000"/>
          <w:sz w:val="24"/>
          <w:szCs w:val="24"/>
        </w:rPr>
        <w:t>. Mowa tam natomiast m.in. o zwrocie środków wraz z odsetkami w wysokości określonej jak dla zaległości podatkowych, liczonymi od dnia przekazania środków, w terminie 14 dni od dnia doręczenia ostatecznej decyzji, o której mowa w ust. 9, na wskazany w tej decyzji rachunek bankowy.</w:t>
      </w:r>
    </w:p>
    <w:p w:rsidR="004E59F4" w:rsidRDefault="00273D75">
      <w:pPr>
        <w:spacing w:line="300" w:lineRule="auto"/>
        <w:jc w:val="both"/>
        <w:rPr>
          <w:rFonts w:ascii="Calibri" w:hAnsi="Calibri"/>
          <w:color w:val="000000"/>
          <w:sz w:val="24"/>
          <w:szCs w:val="24"/>
        </w:rPr>
      </w:pPr>
      <w:r>
        <w:rPr>
          <w:color w:val="000000"/>
          <w:sz w:val="24"/>
          <w:szCs w:val="24"/>
        </w:rPr>
        <w:t>W doktrynie wskazuje się bowiem, iż</w:t>
      </w:r>
      <w:r>
        <w:rPr>
          <w:i/>
          <w:iCs/>
          <w:color w:val="000000"/>
          <w:sz w:val="24"/>
          <w:szCs w:val="24"/>
        </w:rPr>
        <w:t xml:space="preserve"> „W ustawie wdrożeniowej nie wskazano co prawda wprost, że </w:t>
      </w:r>
      <w:proofErr w:type="spellStart"/>
      <w:r>
        <w:rPr>
          <w:i/>
          <w:iCs/>
          <w:color w:val="000000"/>
          <w:sz w:val="24"/>
          <w:szCs w:val="24"/>
        </w:rPr>
        <w:t>grantobiorca</w:t>
      </w:r>
      <w:proofErr w:type="spellEnd"/>
      <w:r>
        <w:rPr>
          <w:i/>
          <w:iCs/>
          <w:color w:val="000000"/>
          <w:sz w:val="24"/>
          <w:szCs w:val="24"/>
        </w:rPr>
        <w:t xml:space="preserve"> jest „beneficjentem”, jednakże art. 207 ust. 1 </w:t>
      </w:r>
      <w:proofErr w:type="spellStart"/>
      <w:r>
        <w:rPr>
          <w:i/>
          <w:iCs/>
          <w:color w:val="000000"/>
          <w:sz w:val="24"/>
          <w:szCs w:val="24"/>
        </w:rPr>
        <w:t>u.o.f.p</w:t>
      </w:r>
      <w:proofErr w:type="spellEnd"/>
      <w:r>
        <w:rPr>
          <w:i/>
          <w:iCs/>
          <w:color w:val="000000"/>
          <w:sz w:val="24"/>
          <w:szCs w:val="24"/>
        </w:rPr>
        <w:t xml:space="preserve">. 2009 r. wskazuje bezosobowo na konieczność i przesłanki zwrotu nienależnie pobranych środków przeznaczonych na realizację programów finansowanych z udziałem środków europejskich. Pojawiające się w dalszej części art. 207 </w:t>
      </w:r>
      <w:proofErr w:type="spellStart"/>
      <w:r>
        <w:rPr>
          <w:i/>
          <w:iCs/>
          <w:color w:val="000000"/>
          <w:sz w:val="24"/>
          <w:szCs w:val="24"/>
        </w:rPr>
        <w:t>u.o.f.p</w:t>
      </w:r>
      <w:proofErr w:type="spellEnd"/>
      <w:r>
        <w:rPr>
          <w:i/>
          <w:iCs/>
          <w:color w:val="000000"/>
          <w:sz w:val="24"/>
          <w:szCs w:val="24"/>
        </w:rPr>
        <w:t xml:space="preserve">. 2009 r. pojęcie „beneficjenta” powinno być wykładane funkcjonalnie, z uwzględnieniem bezosobowej formuły zawartej w ust. 1 tego artykułu. Jak już wcześniej wyjaśniano </w:t>
      </w:r>
      <w:proofErr w:type="spellStart"/>
      <w:r>
        <w:rPr>
          <w:i/>
          <w:iCs/>
          <w:color w:val="000000"/>
          <w:sz w:val="24"/>
          <w:szCs w:val="24"/>
        </w:rPr>
        <w:t>grantobiorca</w:t>
      </w:r>
      <w:proofErr w:type="spellEnd"/>
      <w:r>
        <w:rPr>
          <w:i/>
          <w:iCs/>
          <w:color w:val="000000"/>
          <w:sz w:val="24"/>
          <w:szCs w:val="24"/>
        </w:rPr>
        <w:t xml:space="preserve"> jest w rzeczywistości beneficjentem dofinansowania, co potwierdza m.in. objęcie go przesłanką wykluczenia, o której mowa w art. 207 ust. 4 i 5 </w:t>
      </w:r>
      <w:proofErr w:type="spellStart"/>
      <w:r>
        <w:rPr>
          <w:i/>
          <w:iCs/>
          <w:color w:val="000000"/>
          <w:sz w:val="24"/>
          <w:szCs w:val="24"/>
        </w:rPr>
        <w:t>u.o.f.p</w:t>
      </w:r>
      <w:proofErr w:type="spellEnd"/>
      <w:r>
        <w:rPr>
          <w:i/>
          <w:iCs/>
          <w:color w:val="000000"/>
          <w:sz w:val="24"/>
          <w:szCs w:val="24"/>
        </w:rPr>
        <w:t>. 2009 r.”</w:t>
      </w:r>
      <w:r>
        <w:rPr>
          <w:color w:val="000000"/>
          <w:sz w:val="24"/>
          <w:szCs w:val="24"/>
        </w:rPr>
        <w:t xml:space="preserve"> (por. </w:t>
      </w:r>
      <w:proofErr w:type="spellStart"/>
      <w:r>
        <w:rPr>
          <w:color w:val="000000"/>
          <w:sz w:val="24"/>
          <w:szCs w:val="24"/>
        </w:rPr>
        <w:t>R.Poździk</w:t>
      </w:r>
      <w:proofErr w:type="spellEnd"/>
      <w:r>
        <w:rPr>
          <w:color w:val="000000"/>
          <w:sz w:val="24"/>
          <w:szCs w:val="24"/>
        </w:rPr>
        <w:t xml:space="preserve"> (red.), </w:t>
      </w:r>
      <w:proofErr w:type="spellStart"/>
      <w:r>
        <w:rPr>
          <w:i/>
          <w:iCs/>
          <w:color w:val="000000"/>
          <w:sz w:val="24"/>
          <w:szCs w:val="24"/>
        </w:rPr>
        <w:t>op.cit</w:t>
      </w:r>
      <w:proofErr w:type="spellEnd"/>
      <w:r>
        <w:rPr>
          <w:i/>
          <w:iCs/>
          <w:color w:val="000000"/>
          <w:sz w:val="24"/>
          <w:szCs w:val="24"/>
        </w:rPr>
        <w:t>.</w:t>
      </w:r>
      <w:r>
        <w:rPr>
          <w:color w:val="000000"/>
          <w:sz w:val="24"/>
          <w:szCs w:val="24"/>
        </w:rPr>
        <w:t>).</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rPr>
          <w:rFonts w:ascii="Calibri" w:hAnsi="Calibri"/>
          <w:color w:val="000000"/>
          <w:sz w:val="24"/>
          <w:szCs w:val="24"/>
        </w:rPr>
      </w:pPr>
      <w:r>
        <w:rPr>
          <w:color w:val="000000"/>
          <w:sz w:val="24"/>
          <w:szCs w:val="24"/>
        </w:rPr>
        <w:t xml:space="preserve">Zgodnie ze wzorem umowy o przyznanie grantu, </w:t>
      </w:r>
      <w:r>
        <w:rPr>
          <w:i/>
          <w:iCs/>
          <w:color w:val="000000"/>
          <w:sz w:val="24"/>
          <w:szCs w:val="24"/>
        </w:rPr>
        <w:t>„wydatki w ramach projektu mogą obejmować koszt podatku od towarów i usług, zgodnie ze złożonym przez Jednostkę samorządu oświadczeniem. Na żądanie PFRON oświadczenie może podlegać aktualizacji.”,</w:t>
      </w:r>
      <w:r>
        <w:rPr>
          <w:color w:val="000000"/>
          <w:sz w:val="24"/>
          <w:szCs w:val="24"/>
        </w:rPr>
        <w:t xml:space="preserve"> a ponadto</w:t>
      </w:r>
      <w:r>
        <w:rPr>
          <w:i/>
          <w:iCs/>
          <w:color w:val="000000"/>
          <w:sz w:val="24"/>
          <w:szCs w:val="24"/>
        </w:rPr>
        <w:t xml:space="preserve"> „w przypadku stwierdzenia </w:t>
      </w:r>
      <w:proofErr w:type="spellStart"/>
      <w:r>
        <w:rPr>
          <w:i/>
          <w:iCs/>
          <w:color w:val="000000"/>
          <w:sz w:val="24"/>
          <w:szCs w:val="24"/>
        </w:rPr>
        <w:t>niekwalifikowalności</w:t>
      </w:r>
      <w:proofErr w:type="spellEnd"/>
      <w:r>
        <w:rPr>
          <w:i/>
          <w:iCs/>
          <w:color w:val="000000"/>
          <w:sz w:val="24"/>
          <w:szCs w:val="24"/>
        </w:rPr>
        <w:t xml:space="preserve"> części poniesionych wydatków, druga transza i płatność końcowa są pomniejszane o kwotę tych środków”.</w:t>
      </w:r>
    </w:p>
    <w:p w:rsidR="004E59F4" w:rsidRDefault="004E59F4">
      <w:pPr>
        <w:spacing w:line="300" w:lineRule="auto"/>
        <w:jc w:val="both"/>
        <w:rPr>
          <w:rFonts w:ascii="Calibri" w:hAnsi="Calibri"/>
          <w:color w:val="000000"/>
          <w:sz w:val="24"/>
          <w:szCs w:val="24"/>
        </w:rPr>
      </w:pPr>
    </w:p>
    <w:p w:rsidR="004E59F4" w:rsidRDefault="00273D75">
      <w:pPr>
        <w:spacing w:line="300" w:lineRule="auto"/>
        <w:jc w:val="both"/>
      </w:pPr>
      <w:r>
        <w:rPr>
          <w:color w:val="000000"/>
          <w:sz w:val="24"/>
          <w:szCs w:val="24"/>
        </w:rPr>
        <w:t>W naszej ocenie, mając na uwadze wskazane powyżej ryzyko, należałoby wymagać od wnioskodawców składania zaktualizowanych oświadczeń każdorazowo w przypadku zaistnienia wszelkich zmian umożliwiających odzyskanie podatku VAT.</w:t>
      </w:r>
    </w:p>
    <w:p w:rsidR="004E59F4" w:rsidRDefault="00273D75">
      <w:pPr>
        <w:spacing w:line="300" w:lineRule="auto"/>
        <w:jc w:val="both"/>
      </w:pPr>
      <w:r>
        <w:rPr>
          <w:color w:val="000000"/>
          <w:sz w:val="24"/>
          <w:szCs w:val="24"/>
        </w:rPr>
        <w:lastRenderedPageBreak/>
        <w:t>W naszej ocenie, zasadne byłoby zatem wprowadzenie ww. wymogu wprost do umowy z wnioskodawcą, jako że obecny wzór takiej umowy wskazuje, iż</w:t>
      </w:r>
      <w:r>
        <w:rPr>
          <w:i/>
          <w:iCs/>
          <w:color w:val="000000"/>
          <w:sz w:val="24"/>
          <w:szCs w:val="24"/>
        </w:rPr>
        <w:t xml:space="preserve"> „Na żądanie PFRON oświadczenie może podlegać aktualizacji.”</w:t>
      </w:r>
    </w:p>
    <w:p w:rsidR="004E59F4" w:rsidRDefault="00273D75">
      <w:pPr>
        <w:spacing w:line="300" w:lineRule="auto"/>
        <w:jc w:val="both"/>
      </w:pPr>
      <w:r>
        <w:rPr>
          <w:color w:val="000000"/>
          <w:sz w:val="24"/>
          <w:szCs w:val="24"/>
        </w:rPr>
        <w:t xml:space="preserve">Alternatywnie, można by także zrezygnować z ww. postanowienia wprost w umowie, jako że przygotowany projekt oświadczenia (który miałby stanowić załącznik do tej umowy), odnosi się już do tej kwestii (tj. wymogu składania zaktualizowanych oświadczeń). Załączniki do umowy stanowią natomiast integralną część umowy. </w:t>
      </w:r>
    </w:p>
    <w:p w:rsidR="004E59F4" w:rsidRDefault="004E59F4">
      <w:pPr>
        <w:spacing w:line="300" w:lineRule="auto"/>
        <w:jc w:val="both"/>
        <w:rPr>
          <w:color w:val="000000"/>
          <w:sz w:val="24"/>
          <w:szCs w:val="24"/>
        </w:rPr>
      </w:pPr>
    </w:p>
    <w:p w:rsidR="004E59F4" w:rsidRDefault="004E59F4">
      <w:pPr>
        <w:spacing w:line="300" w:lineRule="auto"/>
        <w:jc w:val="both"/>
        <w:rPr>
          <w:rFonts w:ascii="Calibri" w:hAnsi="Calibri"/>
          <w:color w:val="ED1C24"/>
          <w:sz w:val="24"/>
          <w:szCs w:val="24"/>
        </w:rPr>
      </w:pPr>
    </w:p>
    <w:p w:rsidR="004E59F4" w:rsidRDefault="00273D75">
      <w:pPr>
        <w:spacing w:line="300" w:lineRule="auto"/>
        <w:jc w:val="both"/>
        <w:rPr>
          <w:rFonts w:ascii="Calibri" w:hAnsi="Calibri"/>
          <w:b/>
          <w:bCs/>
          <w:color w:val="000000"/>
          <w:sz w:val="24"/>
          <w:szCs w:val="24"/>
        </w:rPr>
      </w:pPr>
      <w:r>
        <w:rPr>
          <w:b/>
          <w:bCs/>
          <w:color w:val="000000"/>
          <w:sz w:val="24"/>
          <w:szCs w:val="24"/>
        </w:rPr>
        <w:t xml:space="preserve">8.3. Określenie metod weryfikacji, czy przesłanki </w:t>
      </w:r>
      <w:r>
        <w:rPr>
          <w:b/>
          <w:bCs/>
          <w:sz w:val="24"/>
          <w:szCs w:val="24"/>
        </w:rPr>
        <w:t>umożliwiające odzyskanie podatku VAT</w:t>
      </w:r>
      <w:r>
        <w:rPr>
          <w:b/>
          <w:bCs/>
          <w:color w:val="000000"/>
          <w:sz w:val="24"/>
          <w:szCs w:val="24"/>
        </w:rPr>
        <w:t xml:space="preserve"> nie zaistniały w okresie realizacji projektu lub w okresie trwałości</w:t>
      </w:r>
    </w:p>
    <w:p w:rsidR="004E59F4" w:rsidRDefault="004E59F4">
      <w:pPr>
        <w:spacing w:line="300" w:lineRule="auto"/>
        <w:jc w:val="both"/>
        <w:rPr>
          <w:sz w:val="8"/>
          <w:szCs w:val="8"/>
        </w:rPr>
      </w:pPr>
    </w:p>
    <w:p w:rsidR="004E59F4" w:rsidRDefault="00273D75">
      <w:pPr>
        <w:spacing w:line="300" w:lineRule="auto"/>
        <w:jc w:val="both"/>
        <w:rPr>
          <w:rFonts w:ascii="Calibri" w:hAnsi="Calibri"/>
          <w:b/>
          <w:bCs/>
          <w:color w:val="000000"/>
          <w:sz w:val="24"/>
          <w:szCs w:val="24"/>
        </w:rPr>
      </w:pPr>
      <w:r>
        <w:rPr>
          <w:color w:val="000000"/>
          <w:sz w:val="24"/>
          <w:szCs w:val="24"/>
        </w:rPr>
        <w:t>Weryfikacja, czy przesłanki umożliwiające odzyskanie podatku VAT nie zaistniały w okresie realizacji projektu lub w okresie trwałości powinna odbywać się przede wszystkim poprzez wymaganie od wnioskodawców składania ponownie (aktualizacji) oświadczeń o kwalifikowalności VAT:</w:t>
      </w:r>
    </w:p>
    <w:p w:rsidR="004E59F4" w:rsidRDefault="00273D75">
      <w:pPr>
        <w:spacing w:line="300" w:lineRule="auto"/>
        <w:jc w:val="both"/>
        <w:rPr>
          <w:color w:val="ED1C24"/>
        </w:rPr>
      </w:pPr>
      <w:r>
        <w:rPr>
          <w:color w:val="000000"/>
          <w:sz w:val="24"/>
          <w:szCs w:val="24"/>
        </w:rPr>
        <w:t>- każdorazowo w przypadku zaistnienia wszelkich zmian umożliwiających odzyskanie podatku VAT,</w:t>
      </w:r>
    </w:p>
    <w:p w:rsidR="004E59F4" w:rsidRDefault="00273D75">
      <w:pPr>
        <w:spacing w:line="300" w:lineRule="auto"/>
        <w:jc w:val="both"/>
      </w:pPr>
      <w:r>
        <w:rPr>
          <w:color w:val="000000"/>
          <w:sz w:val="24"/>
          <w:szCs w:val="24"/>
        </w:rPr>
        <w:t>- ale także niezależnie od zaistnienia jakichkolwiek zmian: tego typu oświadczenia składane byłyby okresowo (np. co 6 miesięcy) i zawierałoby potwierdzenie, iż nastąpiła zmiana w kwalifikacji podatku VAT w stosunku do danych zawartych we wniosku / we wcześniej złożonym oświadczeniu.</w:t>
      </w:r>
    </w:p>
    <w:p w:rsidR="004E59F4" w:rsidRDefault="00273D75">
      <w:pPr>
        <w:spacing w:line="300" w:lineRule="auto"/>
        <w:jc w:val="both"/>
        <w:rPr>
          <w:rFonts w:ascii="Calibri" w:hAnsi="Calibri"/>
          <w:color w:val="000000"/>
          <w:sz w:val="24"/>
          <w:szCs w:val="24"/>
        </w:rPr>
      </w:pPr>
      <w:r>
        <w:rPr>
          <w:color w:val="000000"/>
          <w:sz w:val="24"/>
          <w:szCs w:val="24"/>
        </w:rPr>
        <w:t>W tym celu można wykorzystać wzór oświadczenia, które stanowi załącznik nr  1 do niniejszej ekspertyzy.</w:t>
      </w:r>
    </w:p>
    <w:p w:rsidR="004E59F4" w:rsidRDefault="004E59F4">
      <w:pPr>
        <w:spacing w:line="300" w:lineRule="auto"/>
        <w:jc w:val="both"/>
      </w:pPr>
    </w:p>
    <w:p w:rsidR="004E59F4" w:rsidRDefault="00273D75">
      <w:pPr>
        <w:spacing w:line="300" w:lineRule="auto"/>
        <w:jc w:val="both"/>
        <w:rPr>
          <w:rFonts w:ascii="Calibri" w:hAnsi="Calibri"/>
          <w:color w:val="000000"/>
          <w:sz w:val="24"/>
          <w:szCs w:val="24"/>
        </w:rPr>
      </w:pPr>
      <w:r>
        <w:rPr>
          <w:color w:val="000000"/>
          <w:sz w:val="24"/>
          <w:szCs w:val="24"/>
        </w:rPr>
        <w:t>Poza tym, w celu weryfikacji przez PFRON, czy przesłanki umożliwiające odzyskanie podatku VAT nie zaistniały w okresie realizacji projektu lub w okresie trwałości, można by także zobowiązać wnioskodawców do okresowego (np. co 6 miesięcy) wypełniania ankiet sprawdzających kwalifikowalność VAT.</w:t>
      </w:r>
    </w:p>
    <w:p w:rsidR="004E59F4" w:rsidRDefault="00273D75">
      <w:pPr>
        <w:spacing w:line="300" w:lineRule="auto"/>
        <w:jc w:val="both"/>
        <w:rPr>
          <w:rFonts w:ascii="Calibri" w:hAnsi="Calibri"/>
          <w:color w:val="000000"/>
          <w:sz w:val="24"/>
          <w:szCs w:val="24"/>
        </w:rPr>
      </w:pPr>
      <w:r>
        <w:rPr>
          <w:color w:val="000000"/>
          <w:sz w:val="24"/>
          <w:szCs w:val="24"/>
        </w:rPr>
        <w:t>W tym celu można wykorzystać wzór takiej ankiety, który zaproponowano w Załączniku nr 2 do niniejszej ekspertyzy.</w:t>
      </w:r>
    </w:p>
    <w:p w:rsidR="004E59F4" w:rsidRDefault="004E59F4">
      <w:pPr>
        <w:spacing w:line="300" w:lineRule="auto"/>
        <w:jc w:val="both"/>
        <w:rPr>
          <w:rFonts w:ascii="Calibri" w:hAnsi="Calibri"/>
          <w:i/>
          <w:iCs/>
          <w:color w:val="CE181E"/>
          <w:sz w:val="24"/>
          <w:szCs w:val="24"/>
        </w:rPr>
      </w:pPr>
    </w:p>
    <w:p w:rsidR="004E59F4" w:rsidRDefault="00273D75">
      <w:pPr>
        <w:spacing w:line="300" w:lineRule="auto"/>
        <w:jc w:val="both"/>
      </w:pPr>
      <w:r>
        <w:rPr>
          <w:color w:val="000000"/>
          <w:sz w:val="24"/>
          <w:szCs w:val="24"/>
        </w:rPr>
        <w:t xml:space="preserve">Zaproponowane powyżej periodyczne stosowanie ankiety (co 6 miesięcy) ma na celu wykrycie przypadków, w których zaistnieją zmiany umożliwiające odzyskanie podatku VAT (w zależności od konkretnej sytuacji, np. odpłatne zbycie pojazdu lub rozpoczęcie wykorzystywania go do czynności odpłatnych), a mimo to JST nie złoży zaktualizowanego oświadczenia lub złoży </w:t>
      </w:r>
      <w:r>
        <w:rPr>
          <w:color w:val="000000"/>
          <w:sz w:val="24"/>
          <w:szCs w:val="24"/>
        </w:rPr>
        <w:lastRenderedPageBreak/>
        <w:t>nieprawidłowe oświadczenie. Podobnie w przypadku samych oświadczeń. Wzór oświadczenia zawiera bowiem miejsce na wpisanie uzasadnienia i jego lektura sama w sobie może stanowić zatem dla PFRON narzędzie weryfikacji.</w:t>
      </w:r>
    </w:p>
    <w:p w:rsidR="004E59F4" w:rsidRDefault="00273D75">
      <w:pPr>
        <w:spacing w:line="300" w:lineRule="auto"/>
        <w:jc w:val="both"/>
      </w:pPr>
      <w:r>
        <w:rPr>
          <w:color w:val="000000"/>
          <w:sz w:val="24"/>
          <w:szCs w:val="24"/>
        </w:rPr>
        <w:t>Niezależnie od powyższego, PFRON mógłby jednak korzystać z przedmiotowej ankiety jedynie przy pierwszym oświadczeniu składanym przez JST, a kolejne, zaktualizowane oświadczenia mogłyby być składane z każdym wnioskiem o płatność (już bez ankiety), z zastrzeżeniem przypadku, gdy wcześniej zaistniałyby zmiany umożliwiające odzyskanie podatku VAT (aktywowałoby to bowiem automatycznie obowiązek aktualizacji oświadczenia). Ankieta mogłaby być poza tym stosowana także w przypadku zmiany oświadczenia przez JST, jak też przy ostatecznym rozliczeniu projektu oraz w przypadku wątpliwości co do złożonego przez JST zaktualizowanego oświadczenia.</w:t>
      </w:r>
    </w:p>
    <w:p w:rsidR="004E59F4" w:rsidRDefault="004E59F4">
      <w:pPr>
        <w:spacing w:line="300" w:lineRule="auto"/>
        <w:jc w:val="both"/>
        <w:rPr>
          <w:rFonts w:ascii="Calibri" w:hAnsi="Calibri"/>
          <w:i/>
          <w:iCs/>
          <w:color w:val="CE181E"/>
          <w:sz w:val="24"/>
          <w:szCs w:val="24"/>
        </w:rPr>
      </w:pPr>
    </w:p>
    <w:p w:rsidR="004E59F4" w:rsidRDefault="00273D75">
      <w:pPr>
        <w:spacing w:line="300" w:lineRule="auto"/>
        <w:jc w:val="both"/>
        <w:rPr>
          <w:b/>
          <w:bCs/>
        </w:rPr>
      </w:pPr>
      <w:r>
        <w:br w:type="page"/>
      </w:r>
    </w:p>
    <w:p w:rsidR="004E59F4" w:rsidRDefault="00273D75">
      <w:pPr>
        <w:pStyle w:val="Nagwek1"/>
        <w:spacing w:before="0" w:after="283" w:line="300" w:lineRule="auto"/>
        <w:jc w:val="both"/>
      </w:pPr>
      <w:bookmarkStart w:id="18" w:name="__RefHeading___Toc14242_3456557757"/>
      <w:bookmarkEnd w:id="18"/>
      <w:r>
        <w:rPr>
          <w:rFonts w:ascii="Calibri" w:hAnsi="Calibri"/>
          <w:sz w:val="24"/>
          <w:szCs w:val="24"/>
        </w:rPr>
        <w:lastRenderedPageBreak/>
        <w:t>VI. Wnioski</w:t>
      </w:r>
    </w:p>
    <w:p w:rsidR="004E59F4" w:rsidRDefault="00273D75">
      <w:pPr>
        <w:spacing w:line="300" w:lineRule="auto"/>
        <w:jc w:val="both"/>
      </w:pPr>
      <w:r>
        <w:rPr>
          <w:color w:val="000000"/>
          <w:sz w:val="24"/>
          <w:szCs w:val="24"/>
        </w:rPr>
        <w:t>Z przedstawionej ekspertyzy wynikają następujące wnioski:</w:t>
      </w:r>
    </w:p>
    <w:p w:rsidR="004E59F4" w:rsidRDefault="004E59F4">
      <w:pPr>
        <w:pStyle w:val="Tekstpodstawowy"/>
        <w:spacing w:line="300" w:lineRule="auto"/>
        <w:jc w:val="both"/>
        <w:rPr>
          <w:b/>
          <w:bCs/>
          <w:sz w:val="10"/>
          <w:szCs w:val="10"/>
        </w:rPr>
      </w:pPr>
    </w:p>
    <w:p w:rsidR="004E59F4" w:rsidRDefault="00273D75">
      <w:pPr>
        <w:pStyle w:val="Tekstpodstawowy"/>
        <w:spacing w:line="300" w:lineRule="auto"/>
        <w:jc w:val="both"/>
        <w:rPr>
          <w:color w:val="000000"/>
          <w:sz w:val="24"/>
          <w:szCs w:val="24"/>
        </w:rPr>
      </w:pPr>
      <w:r>
        <w:rPr>
          <w:b/>
          <w:bCs/>
          <w:i/>
          <w:iCs/>
          <w:sz w:val="24"/>
          <w:szCs w:val="24"/>
        </w:rPr>
        <w:t>1. VAT od otrzymanej dotacji na realizację usług transportowych door-to-door przez JST</w:t>
      </w:r>
    </w:p>
    <w:p w:rsidR="004E59F4" w:rsidRDefault="00273D75">
      <w:pPr>
        <w:spacing w:line="300" w:lineRule="auto"/>
        <w:jc w:val="both"/>
      </w:pPr>
      <w:r>
        <w:rPr>
          <w:color w:val="000000"/>
          <w:sz w:val="24"/>
          <w:szCs w:val="24"/>
        </w:rPr>
        <w:t>1) W naszej ocenie, w modelu nr 1, w przypadku samodzielnego świadczenia usług przez JST, środki finansowe (dotacja) otrzymywane przez JST z PFRON nie stanowią dotacji, o której mowa w art. 29a ust. 1 ustawy o VAT, a tym samym nie stanowią one elementu podstawy opodatkowania VAT ewentualnej usługi świadczonej przez JST na rzecz pasażera.</w:t>
      </w:r>
    </w:p>
    <w:p w:rsidR="004E59F4" w:rsidRDefault="004E59F4">
      <w:pPr>
        <w:spacing w:line="300" w:lineRule="auto"/>
        <w:jc w:val="both"/>
        <w:rPr>
          <w:color w:val="000000"/>
          <w:sz w:val="10"/>
          <w:szCs w:val="10"/>
        </w:rPr>
      </w:pPr>
    </w:p>
    <w:p w:rsidR="004E59F4" w:rsidRDefault="00273D75">
      <w:pPr>
        <w:spacing w:line="300" w:lineRule="auto"/>
        <w:jc w:val="both"/>
      </w:pPr>
      <w:r>
        <w:rPr>
          <w:color w:val="000000"/>
          <w:sz w:val="24"/>
          <w:szCs w:val="24"/>
        </w:rPr>
        <w:t>2) Mając jednak na uwadze bieżącą linię interpretacyjną DKIS, istnieje duże ryzyko odmiennego podejścia i z tego też względu – w naszej ocenie – JST, która (w tym modelu) zamierza deklarować VAT jako wydatek kwalifikowalny (uznając, iż nie będzie dokonywać odpłatnego świadczenia usług na rzecz pasażerów, w tym z uwagi na to, że dotacja nie stanowi elementu podstawy opodatkowania VAT tej usługi), powinna potwierdzić to interpretacją DKIS.</w:t>
      </w:r>
    </w:p>
    <w:p w:rsidR="004E59F4" w:rsidRDefault="004E59F4">
      <w:pPr>
        <w:spacing w:line="300" w:lineRule="auto"/>
        <w:jc w:val="both"/>
        <w:rPr>
          <w:rFonts w:ascii="Calibri" w:hAnsi="Calibri"/>
          <w:color w:val="000000"/>
          <w:sz w:val="10"/>
          <w:szCs w:val="10"/>
        </w:rPr>
      </w:pPr>
    </w:p>
    <w:p w:rsidR="004E59F4" w:rsidRDefault="00273D75">
      <w:pPr>
        <w:spacing w:line="300" w:lineRule="auto"/>
        <w:jc w:val="both"/>
      </w:pPr>
      <w:r>
        <w:rPr>
          <w:color w:val="000000"/>
          <w:sz w:val="24"/>
          <w:szCs w:val="24"/>
        </w:rPr>
        <w:t>3) Z kolei, w przypadku, gdy usługi na rzecz pasażerów świadczy spółka komunalna, a pomiędzy JST i pasażerem nie istnieje stosunek prawny, na mocy którego dochodziłoby do wymiany świadczeń wzajemnych, przyjąć należy, iż JST nie świadczy usługi na rzecz pasażera i otrzymane przez JST środki z PFRON nie będą mogły być uznane za dotację, o której mowa w art. 29a ust. 1 ustawy o VAT (tj. mającą bezpośredni wpływ na cenę usług świadczonych przez JST), bowiem JST takich usług nie będzie świadczyć. W tej sytuacji JST nie byłyby zatem zobowiązane do wykazania ww. dotacji dla celów VAT.</w:t>
      </w:r>
    </w:p>
    <w:p w:rsidR="004E59F4" w:rsidRDefault="004E59F4">
      <w:pPr>
        <w:spacing w:line="300" w:lineRule="auto"/>
        <w:jc w:val="both"/>
        <w:rPr>
          <w:color w:val="000000"/>
          <w:sz w:val="10"/>
          <w:szCs w:val="10"/>
        </w:rPr>
      </w:pPr>
    </w:p>
    <w:p w:rsidR="004E59F4" w:rsidRDefault="00273D75">
      <w:pPr>
        <w:spacing w:line="300" w:lineRule="auto"/>
        <w:jc w:val="both"/>
      </w:pPr>
      <w:r>
        <w:rPr>
          <w:color w:val="000000"/>
          <w:sz w:val="24"/>
          <w:szCs w:val="24"/>
        </w:rPr>
        <w:t>4) Mając na uwadze powołane w niniejszej ekspertyzie interpretacje DKIS wskazać należy jednak na ryzyko uznania, iż środki (z dotacji od PFRON) przekazywane przez JST do SK (w ramach „wynagrodzenia”/rekompensaty za zlecone/powierzone usługi) stanowią:</w:t>
      </w:r>
    </w:p>
    <w:p w:rsidR="004E59F4" w:rsidRDefault="00273D75">
      <w:pPr>
        <w:spacing w:line="300" w:lineRule="auto"/>
        <w:jc w:val="both"/>
        <w:rPr>
          <w:rFonts w:ascii="Calibri" w:hAnsi="Calibri"/>
        </w:rPr>
      </w:pPr>
      <w:r>
        <w:rPr>
          <w:color w:val="000000"/>
          <w:sz w:val="24"/>
          <w:szCs w:val="24"/>
        </w:rPr>
        <w:t>- wynagrodzenie za usługę opodatkowaną VAT świadczoną przez SK na rzecz JST, albo</w:t>
      </w:r>
    </w:p>
    <w:p w:rsidR="004E59F4" w:rsidRDefault="00273D75">
      <w:pPr>
        <w:spacing w:line="300" w:lineRule="auto"/>
        <w:jc w:val="both"/>
        <w:rPr>
          <w:rFonts w:ascii="Calibri" w:hAnsi="Calibri"/>
        </w:rPr>
      </w:pPr>
      <w:r>
        <w:rPr>
          <w:color w:val="000000"/>
          <w:sz w:val="24"/>
          <w:szCs w:val="24"/>
        </w:rPr>
        <w:t>- element podstawy opodatkowania (dotację, o której mowa w art. 29a ust. 1 ustawy o VAT) usługi świadczonej przez SK na rzecz pasażerów.</w:t>
      </w:r>
    </w:p>
    <w:p w:rsidR="004E59F4" w:rsidRDefault="004E59F4">
      <w:pPr>
        <w:spacing w:line="300" w:lineRule="auto"/>
        <w:jc w:val="both"/>
        <w:rPr>
          <w:color w:val="000000"/>
          <w:sz w:val="12"/>
          <w:szCs w:val="12"/>
        </w:rPr>
      </w:pPr>
    </w:p>
    <w:p w:rsidR="004E59F4" w:rsidRDefault="00273D75">
      <w:pPr>
        <w:spacing w:line="300" w:lineRule="auto"/>
        <w:jc w:val="both"/>
      </w:pPr>
      <w:r>
        <w:rPr>
          <w:color w:val="000000"/>
          <w:sz w:val="24"/>
          <w:szCs w:val="24"/>
        </w:rPr>
        <w:t xml:space="preserve">5) Uznać należy, iż w modelu nr 2, </w:t>
      </w:r>
      <w:r>
        <w:rPr>
          <w:i/>
          <w:iCs/>
          <w:color w:val="000000"/>
          <w:sz w:val="24"/>
          <w:szCs w:val="24"/>
        </w:rPr>
        <w:t xml:space="preserve">tj. przy zleceniu przez JST usług podmiotowi komercyjnemu (PK), przy założeniu, że usługę bezpośrednio na rzecz pasażera świadczy podmiot zewnętrzny, </w:t>
      </w:r>
      <w:r>
        <w:rPr>
          <w:color w:val="000000"/>
          <w:sz w:val="24"/>
          <w:szCs w:val="24"/>
        </w:rPr>
        <w:t xml:space="preserve">jeśli pomiędzy JST a pasażerem nie istnieje stosunek prawny, na mocy którego dochodziłoby do wymiany świadczeń wzajemnych, JST nie świadczy usługi na rzecz pasażera i tym samym otrzymane przez JST środki z PFRON nie będą mogły być uznane za dotację, o której mowa w </w:t>
      </w:r>
      <w:r>
        <w:rPr>
          <w:color w:val="000000"/>
          <w:sz w:val="24"/>
          <w:szCs w:val="24"/>
        </w:rPr>
        <w:lastRenderedPageBreak/>
        <w:t>art. 29a ust. 1 ustawy o VAT. W tej sytuacji JST nie byłyby zatem zobowiązane do wykazania ww. dotacji dla celów VAT.</w:t>
      </w:r>
    </w:p>
    <w:p w:rsidR="004E59F4" w:rsidRDefault="004E59F4">
      <w:pPr>
        <w:spacing w:line="300" w:lineRule="auto"/>
        <w:jc w:val="both"/>
        <w:rPr>
          <w:color w:val="000000"/>
          <w:sz w:val="12"/>
          <w:szCs w:val="12"/>
        </w:rPr>
      </w:pPr>
    </w:p>
    <w:p w:rsidR="004E59F4" w:rsidRDefault="00273D75">
      <w:pPr>
        <w:spacing w:line="300" w:lineRule="auto"/>
        <w:jc w:val="both"/>
      </w:pPr>
      <w:r>
        <w:rPr>
          <w:color w:val="000000"/>
          <w:sz w:val="24"/>
          <w:szCs w:val="24"/>
        </w:rPr>
        <w:t>6)</w:t>
      </w:r>
      <w:r>
        <w:rPr>
          <w:i/>
          <w:iCs/>
          <w:color w:val="000000"/>
          <w:sz w:val="24"/>
          <w:szCs w:val="24"/>
        </w:rPr>
        <w:t xml:space="preserve"> </w:t>
      </w:r>
      <w:r>
        <w:rPr>
          <w:color w:val="000000"/>
          <w:sz w:val="24"/>
          <w:szCs w:val="24"/>
        </w:rPr>
        <w:t>W naszej ocenie, w modelu nr 3</w:t>
      </w:r>
      <w:r>
        <w:rPr>
          <w:i/>
          <w:iCs/>
          <w:color w:val="000000"/>
          <w:sz w:val="24"/>
          <w:szCs w:val="24"/>
        </w:rPr>
        <w:t xml:space="preserve"> (tj. powierzenie usług organizacji pożytku publicznego), </w:t>
      </w:r>
      <w:r>
        <w:rPr>
          <w:color w:val="000000"/>
          <w:sz w:val="24"/>
          <w:szCs w:val="24"/>
        </w:rPr>
        <w:t>uznać należy, iż JST nie świadczy usługi na rzecz pasażera, a w konsekwencji, otrzymane z PFRON środki nie będą mogły być uznane za dotację, o której mowa w art. 29a ust. 1 ustawy o VAT (tj. mającą bezpośredni wpływ na cenę usług świadczonych przez JST). W konsekwencji, w tym modelu JST nie będą zobowiązane do wykazania ww. dotacji dla celów VAT.</w:t>
      </w:r>
      <w:bookmarkStart w:id="19" w:name="_Hlk40794485"/>
      <w:bookmarkEnd w:id="19"/>
    </w:p>
    <w:p w:rsidR="004E59F4" w:rsidRDefault="004E59F4">
      <w:pPr>
        <w:pStyle w:val="Tekstpodstawowy"/>
        <w:spacing w:line="300" w:lineRule="auto"/>
        <w:jc w:val="both"/>
        <w:rPr>
          <w:b/>
          <w:bCs/>
          <w:sz w:val="24"/>
          <w:szCs w:val="24"/>
        </w:rPr>
      </w:pPr>
    </w:p>
    <w:p w:rsidR="004E59F4" w:rsidRDefault="00273D75">
      <w:pPr>
        <w:pStyle w:val="Tekstpodstawowy"/>
        <w:spacing w:line="300" w:lineRule="auto"/>
        <w:jc w:val="both"/>
        <w:rPr>
          <w:i/>
          <w:iCs/>
        </w:rPr>
      </w:pPr>
      <w:r>
        <w:rPr>
          <w:b/>
          <w:bCs/>
          <w:i/>
          <w:iCs/>
          <w:sz w:val="24"/>
          <w:szCs w:val="24"/>
        </w:rPr>
        <w:t>2. VAT od zakupu przez JST pojazdu służącego do przewozu osób o szczególnych potrzebach</w:t>
      </w:r>
    </w:p>
    <w:p w:rsidR="004E59F4" w:rsidRDefault="00273D75">
      <w:pPr>
        <w:pStyle w:val="Tekstpodstawowy"/>
        <w:spacing w:line="300" w:lineRule="auto"/>
        <w:jc w:val="both"/>
      </w:pPr>
      <w:r>
        <w:rPr>
          <w:sz w:val="24"/>
          <w:szCs w:val="24"/>
        </w:rPr>
        <w:t>1) Jeżeli świadczone przez JST usługi transportowe nie będą opodatkowane VAT, to wówczas JST nie będzie przysługiwało prawo do odliczenia VAT z tytułu wydatków związanych z pojazdem, który służy (służyć ma) wyłącznie do świadczenia tych usług.</w:t>
      </w:r>
    </w:p>
    <w:p w:rsidR="004E59F4" w:rsidRDefault="00273D75">
      <w:pPr>
        <w:pStyle w:val="Tekstpodstawowy"/>
        <w:spacing w:line="300" w:lineRule="auto"/>
        <w:jc w:val="both"/>
      </w:pPr>
      <w:r>
        <w:rPr>
          <w:sz w:val="24"/>
          <w:szCs w:val="24"/>
        </w:rPr>
        <w:t>2) W sytuacji, gdy usługi transportowe świadczone przez JST będą opodatkowane VAT i wydatki dotyczyć będą pojazdu nie będącego pojazdem samochodowym w rozumieniu ustawy o VAT, a pojazd ten będzie wykorzystywany wyłącznie do działalności gospodarczej JST (tj. do działalności transportowej), to wówczas JST będzie przysługiwało prawo do odliczenia VAT z tytułu wydatków związanych z pojazdem wykorzystywanym do świadczenia usług transportowych w wysokości 100%. Jeśli natomiast pojazd taki nie będzie wykorzystywany wyłącznie do działalności gospodarczej JST, to JST będzie miała prawo do odliczenia VAT z zastosowaniem PW i WSP (jeśli pojazd służyłby także do czynności zwolnionych z VAT).</w:t>
      </w:r>
    </w:p>
    <w:p w:rsidR="004E59F4" w:rsidRDefault="00273D75">
      <w:pPr>
        <w:pStyle w:val="Tekstpodstawowy"/>
        <w:spacing w:line="300" w:lineRule="auto"/>
        <w:jc w:val="both"/>
      </w:pPr>
      <w:r>
        <w:rPr>
          <w:sz w:val="24"/>
          <w:szCs w:val="24"/>
        </w:rPr>
        <w:t>3) Z kolei, w przypadku, gdy usługi transportowe świadczone przez JST będą opodatkowane VAT i wydatki dotyczyć będą pojazdów samochodowych w rozumieniu ustawy o VAT, wykorzystywanych wyłącznie do działalności gospodarczej JST (tj. do działalności transportowej), JST będzie przysługiwało prawo do odliczenia VAT:</w:t>
      </w:r>
    </w:p>
    <w:p w:rsidR="004E59F4" w:rsidRDefault="00273D75">
      <w:pPr>
        <w:pStyle w:val="Tekstpodstawowy"/>
        <w:spacing w:line="300" w:lineRule="auto"/>
        <w:jc w:val="both"/>
        <w:rPr>
          <w:sz w:val="24"/>
          <w:szCs w:val="24"/>
        </w:rPr>
      </w:pPr>
      <w:r>
        <w:rPr>
          <w:sz w:val="24"/>
          <w:szCs w:val="24"/>
        </w:rPr>
        <w:t>(1.1) 100 % - jeśli dotyczy to samochodu konstrukcyjnie przeznaczonego do przewozu co najmniej 10 osób łącznie z kierowcą, jeżeli z dokumentów wydanych na podstawie przepisów o ruchu drogowym wynika takie przeznaczenie;</w:t>
      </w:r>
    </w:p>
    <w:p w:rsidR="004E59F4" w:rsidRDefault="00273D75">
      <w:pPr>
        <w:pStyle w:val="Tekstpodstawowy"/>
        <w:spacing w:line="300" w:lineRule="auto"/>
        <w:jc w:val="both"/>
        <w:rPr>
          <w:sz w:val="24"/>
          <w:szCs w:val="24"/>
        </w:rPr>
      </w:pPr>
      <w:r>
        <w:rPr>
          <w:sz w:val="24"/>
          <w:szCs w:val="24"/>
        </w:rPr>
        <w:t>(1.2.) 100% - jeśli dotyczy to pojazdu innego niż określony w pkt. 1.1., ale spełnione zostaną nw. warunki:</w:t>
      </w:r>
    </w:p>
    <w:p w:rsidR="004E59F4" w:rsidRDefault="00273D75">
      <w:pPr>
        <w:pStyle w:val="Tekstpodstawowy"/>
        <w:spacing w:line="300" w:lineRule="auto"/>
        <w:jc w:val="both"/>
      </w:pPr>
      <w:r>
        <w:rPr>
          <w:sz w:val="24"/>
          <w:szCs w:val="24"/>
        </w:rPr>
        <w:t xml:space="preserve">a) sposób wykorzystywania pojazdu przez JST, zwłaszcza określony w ustalonych przez niego zasadach ich używania, dodatkowo potwierdzony prowadzoną przez JST dla tego pojazdów ewidencją przebiegu pojazdu, wyklucza ich użycie do celów niezwiązanych z działalnością </w:t>
      </w:r>
      <w:r>
        <w:rPr>
          <w:sz w:val="24"/>
          <w:szCs w:val="24"/>
        </w:rPr>
        <w:lastRenderedPageBreak/>
        <w:t xml:space="preserve">gospodarczą (JST musi zatem m.in. prowadzić ewidencję przebiegu pojazdu, o której mowa w art. 86a ust. 4 pkt 1 ustawy o VAT) oraz </w:t>
      </w:r>
    </w:p>
    <w:p w:rsidR="004E59F4" w:rsidRDefault="00273D75">
      <w:pPr>
        <w:pStyle w:val="Tekstpodstawowy"/>
        <w:spacing w:line="300" w:lineRule="auto"/>
        <w:jc w:val="both"/>
      </w:pPr>
      <w:r>
        <w:rPr>
          <w:sz w:val="24"/>
          <w:szCs w:val="24"/>
        </w:rPr>
        <w:t>b) JST złoży naczelnikowi urzędu skarbowego informację o tych pojazdach w terminie 7 dni od dnia, w którym zostaną poniesione pierwsze wydatki związane z tymi pojazdami.</w:t>
      </w:r>
    </w:p>
    <w:p w:rsidR="004E59F4" w:rsidRDefault="00273D75">
      <w:pPr>
        <w:pStyle w:val="Tekstpodstawowy"/>
        <w:spacing w:line="300" w:lineRule="auto"/>
        <w:jc w:val="both"/>
      </w:pPr>
      <w:r>
        <w:rPr>
          <w:sz w:val="24"/>
          <w:szCs w:val="24"/>
        </w:rPr>
        <w:t>(1.3.) 50% (art. 86a ust. 1 ustawy o VAT) - w przypadku, gdy dotyczy to pojazdu innego niż określony w pkt. 1.1. i nie zostanie spełniony któryś z warunków wskazanych w pkt. 1.2.</w:t>
      </w:r>
    </w:p>
    <w:p w:rsidR="004E59F4" w:rsidRDefault="004E59F4">
      <w:pPr>
        <w:pStyle w:val="Tekstpodstawowy"/>
        <w:spacing w:line="300" w:lineRule="auto"/>
        <w:jc w:val="both"/>
        <w:rPr>
          <w:sz w:val="6"/>
          <w:szCs w:val="6"/>
        </w:rPr>
      </w:pPr>
    </w:p>
    <w:p w:rsidR="004E59F4" w:rsidRDefault="00273D75">
      <w:pPr>
        <w:pStyle w:val="Tekstpodstawowy"/>
        <w:spacing w:line="300" w:lineRule="auto"/>
        <w:jc w:val="both"/>
        <w:rPr>
          <w:sz w:val="24"/>
          <w:szCs w:val="24"/>
        </w:rPr>
      </w:pPr>
      <w:r>
        <w:rPr>
          <w:sz w:val="24"/>
          <w:szCs w:val="24"/>
        </w:rPr>
        <w:t xml:space="preserve">4) Natomiast, w przypadku, gdyby pojazd samochodowy w rozumieniu ustawy o VAT nie był wykorzystywany wyłącznie do działalności gospodarczej JST (tj. do działalności transportowej), to kwotę przysługującego odliczenia VAT ustalać należy z zastosowaniem: </w:t>
      </w:r>
    </w:p>
    <w:p w:rsidR="004E59F4" w:rsidRDefault="00273D75">
      <w:pPr>
        <w:pStyle w:val="Tekstpodstawowy"/>
        <w:spacing w:line="300" w:lineRule="auto"/>
        <w:jc w:val="both"/>
        <w:rPr>
          <w:sz w:val="24"/>
          <w:szCs w:val="24"/>
        </w:rPr>
      </w:pPr>
      <w:r>
        <w:rPr>
          <w:sz w:val="24"/>
          <w:szCs w:val="24"/>
        </w:rPr>
        <w:t>- PW i WSP (jeśli pojazd służyłby także do czynności zwolnionych z VAT) - w przypadku pojazdu, o którym mowa w punkcie 1.1.;</w:t>
      </w:r>
    </w:p>
    <w:p w:rsidR="004E59F4" w:rsidRDefault="00273D75">
      <w:pPr>
        <w:pStyle w:val="Tekstpodstawowy"/>
        <w:spacing w:line="300" w:lineRule="auto"/>
        <w:jc w:val="both"/>
        <w:rPr>
          <w:sz w:val="24"/>
          <w:szCs w:val="24"/>
        </w:rPr>
      </w:pPr>
      <w:r>
        <w:rPr>
          <w:sz w:val="24"/>
          <w:szCs w:val="24"/>
        </w:rPr>
        <w:t>- proporcji 50% (art. 86a ust. 1 ustawy o VAT) oraz PW i WSP (jeśli pojazd służyłby także do czynności zwolnionych z VAT) - w przypadku gdy nie zostaną spełnione warunki z punktu 1.1 i 1.2.</w:t>
      </w:r>
    </w:p>
    <w:p w:rsidR="004E59F4" w:rsidRDefault="004E59F4">
      <w:pPr>
        <w:pStyle w:val="Tekstpodstawowy"/>
        <w:spacing w:line="300" w:lineRule="auto"/>
        <w:jc w:val="both"/>
        <w:rPr>
          <w:b/>
          <w:bCs/>
          <w:sz w:val="24"/>
          <w:szCs w:val="24"/>
        </w:rPr>
      </w:pPr>
    </w:p>
    <w:p w:rsidR="004E59F4" w:rsidRDefault="00273D75">
      <w:pPr>
        <w:pStyle w:val="Tekstpodstawowy"/>
        <w:spacing w:line="300" w:lineRule="auto"/>
        <w:jc w:val="both"/>
        <w:rPr>
          <w:i/>
          <w:iCs/>
        </w:rPr>
      </w:pPr>
      <w:r>
        <w:rPr>
          <w:b/>
          <w:bCs/>
          <w:i/>
          <w:iCs/>
          <w:sz w:val="24"/>
          <w:szCs w:val="24"/>
        </w:rPr>
        <w:t>3. VAT od leasingu przez JST pojazdu służącego do przewozu osób o szczególnych potrzebach</w:t>
      </w:r>
    </w:p>
    <w:p w:rsidR="004E59F4" w:rsidRDefault="00273D75">
      <w:pPr>
        <w:pStyle w:val="Tekstpodstawowy"/>
        <w:spacing w:line="300" w:lineRule="auto"/>
        <w:jc w:val="both"/>
      </w:pPr>
      <w:r>
        <w:rPr>
          <w:sz w:val="24"/>
          <w:szCs w:val="24"/>
        </w:rPr>
        <w:t>W zakresie zagadnienia (odliczenia) podatku VAT od leasingu przez JST pojazdu służącego do przewozu osób o szczególnych potrzebach z przedstawionej ekspertyzy wynikają wnioski takie, jak przedstawiono w pkt. 2 </w:t>
      </w:r>
      <w:r>
        <w:rPr>
          <w:i/>
          <w:iCs/>
          <w:sz w:val="24"/>
          <w:szCs w:val="24"/>
        </w:rPr>
        <w:t>„VAT od zakupu przez JST pojazdu służącego do przewozu osób o szczególnych potrzebach”.</w:t>
      </w:r>
    </w:p>
    <w:p w:rsidR="004E59F4" w:rsidRDefault="004E59F4">
      <w:pPr>
        <w:pStyle w:val="Tekstpodstawowy"/>
        <w:spacing w:line="300" w:lineRule="auto"/>
        <w:jc w:val="both"/>
        <w:rPr>
          <w:b/>
          <w:bCs/>
          <w:sz w:val="24"/>
          <w:szCs w:val="24"/>
        </w:rPr>
      </w:pPr>
    </w:p>
    <w:p w:rsidR="004E59F4" w:rsidRDefault="00273D75">
      <w:pPr>
        <w:pStyle w:val="Tekstpodstawowy"/>
        <w:spacing w:line="300" w:lineRule="auto"/>
        <w:jc w:val="both"/>
        <w:rPr>
          <w:i/>
          <w:iCs/>
        </w:rPr>
      </w:pPr>
      <w:r>
        <w:rPr>
          <w:b/>
          <w:bCs/>
          <w:i/>
          <w:iCs/>
          <w:sz w:val="24"/>
          <w:szCs w:val="24"/>
        </w:rPr>
        <w:t>4. VAT od świadczenia usług transportowych door-to-door przez JST lub spółkę komunalną</w:t>
      </w:r>
    </w:p>
    <w:p w:rsidR="004E59F4" w:rsidRDefault="00273D75">
      <w:pPr>
        <w:spacing w:line="300" w:lineRule="auto"/>
        <w:jc w:val="both"/>
      </w:pPr>
      <w:r>
        <w:rPr>
          <w:color w:val="000000"/>
          <w:sz w:val="24"/>
          <w:szCs w:val="24"/>
        </w:rPr>
        <w:t>1) W konsekwencji uznania, iż środki otrzymywane z PFRON nie stanowią dotacji, o której mowa w art. 29a ust. 1 ustawy o VAT:</w:t>
      </w:r>
    </w:p>
    <w:p w:rsidR="004E59F4" w:rsidRDefault="00273D75">
      <w:pPr>
        <w:spacing w:line="300" w:lineRule="auto"/>
        <w:jc w:val="both"/>
      </w:pPr>
      <w:r>
        <w:rPr>
          <w:color w:val="000000"/>
          <w:sz w:val="24"/>
          <w:szCs w:val="24"/>
        </w:rPr>
        <w:t>a) w przypadku pobierania odpłatności od pasażera, JST świadczyłaby usługi podlegające VAT na jego rzecz. Przy czym:</w:t>
      </w:r>
    </w:p>
    <w:p w:rsidR="004E59F4" w:rsidRDefault="00273D75">
      <w:pPr>
        <w:spacing w:line="300" w:lineRule="auto"/>
        <w:jc w:val="both"/>
      </w:pPr>
      <w:r>
        <w:rPr>
          <w:color w:val="000000"/>
          <w:sz w:val="24"/>
          <w:szCs w:val="24"/>
        </w:rPr>
        <w:t>- jeżeli JST nie będzie zarejestrowana jako czynny podatnik VAT i spełni warunki z art. 113 ust. 1 ustawy o VAT, to może skorzystać ze zwolnienia z opodatkowania,</w:t>
      </w:r>
    </w:p>
    <w:p w:rsidR="004E59F4" w:rsidRDefault="00273D75">
      <w:pPr>
        <w:spacing w:line="300" w:lineRule="auto"/>
        <w:jc w:val="both"/>
        <w:rPr>
          <w:rFonts w:ascii="Calibri" w:hAnsi="Calibri"/>
          <w:sz w:val="24"/>
          <w:szCs w:val="24"/>
        </w:rPr>
      </w:pPr>
      <w:r>
        <w:rPr>
          <w:color w:val="000000"/>
          <w:sz w:val="24"/>
          <w:szCs w:val="24"/>
        </w:rPr>
        <w:t>- w przeciwnym wypadku usługa taka będzie opodatkowana wg stawki 8%;</w:t>
      </w:r>
    </w:p>
    <w:p w:rsidR="004E59F4" w:rsidRDefault="00273D75">
      <w:pPr>
        <w:spacing w:line="300" w:lineRule="auto"/>
        <w:jc w:val="both"/>
      </w:pPr>
      <w:r>
        <w:rPr>
          <w:color w:val="000000"/>
          <w:sz w:val="24"/>
          <w:szCs w:val="24"/>
        </w:rPr>
        <w:lastRenderedPageBreak/>
        <w:t>b) w przypadku braku odpłatności ze strony pasażera, JST nie świadczyłaby usługi podlegającej VAT na jego rzecz.</w:t>
      </w:r>
    </w:p>
    <w:p w:rsidR="004E59F4" w:rsidRDefault="004E59F4">
      <w:pPr>
        <w:spacing w:line="300" w:lineRule="auto"/>
        <w:jc w:val="both"/>
        <w:rPr>
          <w:color w:val="000000"/>
          <w:sz w:val="12"/>
          <w:szCs w:val="12"/>
        </w:rPr>
      </w:pPr>
    </w:p>
    <w:p w:rsidR="004E59F4" w:rsidRDefault="00273D75">
      <w:pPr>
        <w:spacing w:line="300" w:lineRule="auto"/>
        <w:jc w:val="both"/>
      </w:pPr>
      <w:r>
        <w:rPr>
          <w:color w:val="000000"/>
          <w:sz w:val="24"/>
          <w:szCs w:val="24"/>
        </w:rPr>
        <w:t>2) Niezależnie od powyższego, istnieją również argumenty za uznaniem, iż wykonywane przez JST usługi na rzecz pasażerów nie podlegają opodatkowaniu VAT z uwagi na zastosowanie art. 15 ust. 6 ustawy o VAT. Jednak, jeżeli JST chciałaby przyjąć takie podejście, to powinno to zostać potwierdzone interpretacją indywidualną DKIS;</w:t>
      </w:r>
    </w:p>
    <w:p w:rsidR="004E59F4" w:rsidRDefault="004E59F4">
      <w:pPr>
        <w:spacing w:line="300" w:lineRule="auto"/>
        <w:jc w:val="both"/>
        <w:rPr>
          <w:color w:val="000000"/>
          <w:sz w:val="12"/>
          <w:szCs w:val="12"/>
        </w:rPr>
      </w:pPr>
    </w:p>
    <w:p w:rsidR="004E59F4" w:rsidRDefault="00273D75">
      <w:pPr>
        <w:spacing w:line="300" w:lineRule="auto"/>
        <w:jc w:val="both"/>
      </w:pPr>
      <w:r>
        <w:rPr>
          <w:color w:val="000000"/>
          <w:sz w:val="24"/>
          <w:szCs w:val="24"/>
        </w:rPr>
        <w:t>3) Z kolei, w przypadku zlecenia/powierzenia SK realizacji usługi transportowej wskazanie podmiotów świadczących usługi podlegające VAT, zależeć będzie od sposobu zorganizowania przez JST działalności transportowej i ukształtowania wzajemnych stosunków pomiędzy JST i SK, jak i pasażerem, w tym od tego, kto będzie uzyskiwał wpływy ze sprzedaży biletów / poboru opłat za przejazd.</w:t>
      </w:r>
    </w:p>
    <w:p w:rsidR="004E59F4" w:rsidRDefault="00273D75">
      <w:pPr>
        <w:spacing w:line="300" w:lineRule="auto"/>
        <w:jc w:val="both"/>
      </w:pPr>
      <w:r>
        <w:rPr>
          <w:color w:val="000000"/>
          <w:sz w:val="24"/>
          <w:szCs w:val="24"/>
        </w:rPr>
        <w:t>Jeśli samą JST nie będzie łączyć z pasażerem żaden stosunek zobowiązaniowy, to usługę na rzecz pasażera świadczyłaby SK. Przy czym, jeśli SK będzie pobierała odpłatność od pasażera, to:</w:t>
      </w:r>
    </w:p>
    <w:p w:rsidR="004E59F4" w:rsidRDefault="00273D75">
      <w:pPr>
        <w:spacing w:line="300" w:lineRule="auto"/>
        <w:jc w:val="both"/>
      </w:pPr>
      <w:r>
        <w:rPr>
          <w:color w:val="000000"/>
          <w:sz w:val="24"/>
          <w:szCs w:val="24"/>
        </w:rPr>
        <w:t>- jeżeli SK nie będzie zarejestrowana jako czynny podatnik VAT i spełni warunki z art. 113 ust. 1 ustawy o VAT, to może skorzystać ze zwolnienia z opodatkowania,</w:t>
      </w:r>
    </w:p>
    <w:p w:rsidR="004E59F4" w:rsidRDefault="00273D75">
      <w:pPr>
        <w:spacing w:line="300" w:lineRule="auto"/>
        <w:jc w:val="both"/>
        <w:rPr>
          <w:rFonts w:ascii="Calibri" w:hAnsi="Calibri"/>
          <w:sz w:val="24"/>
          <w:szCs w:val="24"/>
        </w:rPr>
      </w:pPr>
      <w:r>
        <w:rPr>
          <w:color w:val="000000"/>
          <w:sz w:val="24"/>
          <w:szCs w:val="24"/>
        </w:rPr>
        <w:t>- w przeciwnym wypadku usługa taka będzie opodatkowana wg stawki 8%,</w:t>
      </w:r>
    </w:p>
    <w:p w:rsidR="004E59F4" w:rsidRDefault="00273D75">
      <w:pPr>
        <w:spacing w:line="300" w:lineRule="auto"/>
        <w:jc w:val="both"/>
      </w:pPr>
      <w:r>
        <w:rPr>
          <w:color w:val="000000"/>
          <w:sz w:val="24"/>
          <w:szCs w:val="24"/>
        </w:rPr>
        <w:t>- w przypadku braku odpłatności ze strony pasażera, SK nie świadczy usługi podlegającej VAT na jego rzecz;</w:t>
      </w:r>
    </w:p>
    <w:p w:rsidR="004E59F4" w:rsidRDefault="004E59F4">
      <w:pPr>
        <w:spacing w:line="300" w:lineRule="auto"/>
        <w:jc w:val="both"/>
        <w:rPr>
          <w:rFonts w:ascii="Calibri" w:hAnsi="Calibri"/>
          <w:color w:val="000000"/>
          <w:sz w:val="12"/>
          <w:szCs w:val="12"/>
        </w:rPr>
      </w:pPr>
    </w:p>
    <w:p w:rsidR="004E59F4" w:rsidRDefault="00273D75">
      <w:pPr>
        <w:spacing w:line="300" w:lineRule="auto"/>
        <w:jc w:val="both"/>
      </w:pPr>
      <w:r>
        <w:rPr>
          <w:color w:val="000000"/>
          <w:sz w:val="24"/>
          <w:szCs w:val="24"/>
        </w:rPr>
        <w:t>4) Mając jednak na uwadze bieżącą linię interpretacyjną DKIS, istnieje duże ryzyko odmiennego podejścia i z tego też względu – w naszej ocenie – JST, która przyjęłaby ww. podejście, powinna potwierdzić to interpretacją DKIS.</w:t>
      </w:r>
    </w:p>
    <w:p w:rsidR="004E59F4" w:rsidRDefault="00273D75">
      <w:pPr>
        <w:spacing w:line="300" w:lineRule="auto"/>
        <w:jc w:val="both"/>
        <w:rPr>
          <w:rFonts w:ascii="Calibri" w:hAnsi="Calibri"/>
          <w:sz w:val="24"/>
          <w:szCs w:val="24"/>
        </w:rPr>
      </w:pPr>
      <w:r>
        <w:rPr>
          <w:color w:val="000000"/>
          <w:sz w:val="24"/>
          <w:szCs w:val="24"/>
        </w:rPr>
        <w:t>W przeciwnym wypadku, należałoby przyjąć, iż JST (SK) świadczy usługę podlegającą VAT także w przypadku braku odpłatności ze strony pasażera.</w:t>
      </w:r>
    </w:p>
    <w:p w:rsidR="004E59F4" w:rsidRDefault="00273D75">
      <w:pPr>
        <w:spacing w:line="300" w:lineRule="auto"/>
        <w:jc w:val="both"/>
      </w:pPr>
      <w:r>
        <w:rPr>
          <w:color w:val="000000"/>
          <w:sz w:val="24"/>
          <w:szCs w:val="24"/>
        </w:rPr>
        <w:t>W szczególności bowiem, powyższe podejście co do braku opodatkowania VAT przypadku nieodpłatnego świadczenia usługi przez JST opiera się na założeniu, iż otrzyma dotacja nie stanowi swoistej „odpłatności” za tę usługę;</w:t>
      </w:r>
    </w:p>
    <w:p w:rsidR="004E59F4" w:rsidRDefault="004E59F4">
      <w:pPr>
        <w:spacing w:line="300" w:lineRule="auto"/>
        <w:jc w:val="both"/>
        <w:rPr>
          <w:rFonts w:ascii="Calibri" w:hAnsi="Calibri"/>
          <w:color w:val="000000"/>
        </w:rPr>
      </w:pPr>
    </w:p>
    <w:p w:rsidR="004E59F4" w:rsidRDefault="00273D75">
      <w:pPr>
        <w:spacing w:line="300" w:lineRule="auto"/>
        <w:jc w:val="both"/>
      </w:pPr>
      <w:r>
        <w:rPr>
          <w:color w:val="000000"/>
          <w:sz w:val="24"/>
          <w:szCs w:val="24"/>
        </w:rPr>
        <w:t>5) Mając na uwadze przywołane w niniejszej ekspertyzie interpretacje DKIS, uważamy, iż w ramach wspomnianego wniosku o wydanie interpretacji potwierdzić należy także i to, czy w ww. modelu przy zleceniu/powierzeniu usług, SK nie świadczy jednak usług na rzecz JST;</w:t>
      </w:r>
    </w:p>
    <w:p w:rsidR="004E59F4" w:rsidRDefault="004E59F4">
      <w:pPr>
        <w:spacing w:line="300" w:lineRule="auto"/>
        <w:jc w:val="both"/>
        <w:rPr>
          <w:color w:val="000000"/>
        </w:rPr>
      </w:pPr>
    </w:p>
    <w:p w:rsidR="004E59F4" w:rsidRDefault="00273D75">
      <w:pPr>
        <w:spacing w:line="300" w:lineRule="auto"/>
        <w:jc w:val="both"/>
      </w:pPr>
      <w:r>
        <w:rPr>
          <w:color w:val="000000"/>
          <w:sz w:val="24"/>
          <w:szCs w:val="24"/>
        </w:rPr>
        <w:lastRenderedPageBreak/>
        <w:t>6) W naszej ocenie w przypadku, gdyby powierzenie/zlecenie usługi SK potraktowane zostałoby jako odpłatne świadczenie usługi (opodatkowane VAT) przez SK na rzecz JST, to JST nie będzie miała prawa do odliczenia VAT, jeśli nabyte usługi nie będą miały związku z wykonywanymi przez JST czynnościami opodatkowanymi VAT (w tym, sama nie będzie świadczyć usługi transportowej na rzecz pasażerów na zasadzie art. 8 ust. 2a ustawy o VAT).</w:t>
      </w:r>
    </w:p>
    <w:p w:rsidR="004E59F4" w:rsidRDefault="004E59F4">
      <w:pPr>
        <w:pStyle w:val="Tekstpodstawowy"/>
        <w:spacing w:line="300" w:lineRule="auto"/>
        <w:jc w:val="both"/>
        <w:rPr>
          <w:b/>
          <w:bCs/>
          <w:sz w:val="24"/>
          <w:szCs w:val="24"/>
        </w:rPr>
      </w:pPr>
    </w:p>
    <w:p w:rsidR="004E59F4" w:rsidRDefault="00273D75">
      <w:pPr>
        <w:pStyle w:val="Tekstpodstawowy"/>
        <w:spacing w:line="300" w:lineRule="auto"/>
        <w:jc w:val="both"/>
        <w:rPr>
          <w:i/>
          <w:iCs/>
        </w:rPr>
      </w:pPr>
      <w:r>
        <w:rPr>
          <w:b/>
          <w:bCs/>
          <w:i/>
          <w:iCs/>
          <w:sz w:val="24"/>
          <w:szCs w:val="24"/>
        </w:rPr>
        <w:t>5. VAT od świadczenia usług transportowych door-to-door przez podmiot, któremu JST powierzył wykonanie usługi (firma lub organizacja pozarządowa)</w:t>
      </w:r>
    </w:p>
    <w:p w:rsidR="004E59F4" w:rsidRDefault="00273D75">
      <w:pPr>
        <w:spacing w:line="300" w:lineRule="auto"/>
        <w:jc w:val="both"/>
      </w:pPr>
      <w:r>
        <w:rPr>
          <w:color w:val="000000"/>
          <w:sz w:val="24"/>
          <w:szCs w:val="24"/>
        </w:rPr>
        <w:t>1) W zakresie świadczenia usług przez PK uznać należy, iż:</w:t>
      </w:r>
    </w:p>
    <w:p w:rsidR="004E59F4" w:rsidRDefault="00273D75">
      <w:pPr>
        <w:spacing w:line="300" w:lineRule="auto"/>
        <w:jc w:val="both"/>
      </w:pPr>
      <w:r>
        <w:rPr>
          <w:color w:val="000000"/>
          <w:sz w:val="24"/>
          <w:szCs w:val="24"/>
        </w:rPr>
        <w:t>a) jeżeli PK nie będzie zarejestrowany jako czynny podatnik VAT i spełni warunki z art. 113 ust. 1 ustawy o VAT, to może skorzystać ze zwolnienia z opodatkowania i tym samym JST nabędzie usługę zwolnioną z VAT,</w:t>
      </w:r>
    </w:p>
    <w:p w:rsidR="004E59F4" w:rsidRDefault="00273D75">
      <w:pPr>
        <w:spacing w:line="300" w:lineRule="auto"/>
        <w:jc w:val="both"/>
        <w:rPr>
          <w:rFonts w:ascii="Calibri" w:hAnsi="Calibri"/>
        </w:rPr>
      </w:pPr>
      <w:r>
        <w:rPr>
          <w:color w:val="000000"/>
          <w:sz w:val="24"/>
          <w:szCs w:val="24"/>
        </w:rPr>
        <w:t>b) w przeciwnym przypadku usługa świadczona przez PK na rzecz JST będzie opodatkowana wg stawki 8%,</w:t>
      </w:r>
    </w:p>
    <w:p w:rsidR="004E59F4" w:rsidRDefault="004E59F4">
      <w:pPr>
        <w:spacing w:line="300" w:lineRule="auto"/>
        <w:jc w:val="both"/>
        <w:rPr>
          <w:color w:val="000000"/>
          <w:sz w:val="12"/>
          <w:szCs w:val="12"/>
        </w:rPr>
      </w:pPr>
    </w:p>
    <w:p w:rsidR="004E59F4" w:rsidRDefault="00273D75">
      <w:pPr>
        <w:spacing w:line="300" w:lineRule="auto"/>
        <w:jc w:val="both"/>
      </w:pPr>
      <w:r>
        <w:rPr>
          <w:color w:val="000000"/>
          <w:sz w:val="24"/>
          <w:szCs w:val="24"/>
        </w:rPr>
        <w:t>2) W naszej ocenie, w przypadku powierzenia OPP realizacji zadania publicznego na podstawie ustawy o działalności pożytku publicznego i o wolontariacie:</w:t>
      </w:r>
    </w:p>
    <w:p w:rsidR="004E59F4" w:rsidRDefault="00273D75">
      <w:pPr>
        <w:spacing w:line="300" w:lineRule="auto"/>
        <w:jc w:val="both"/>
      </w:pPr>
      <w:r>
        <w:rPr>
          <w:color w:val="000000"/>
          <w:sz w:val="24"/>
          <w:szCs w:val="24"/>
        </w:rPr>
        <w:t>a) OPP nie będzie świadczyć na rzecz JST usługi podlegającej VAT;</w:t>
      </w:r>
    </w:p>
    <w:p w:rsidR="004E59F4" w:rsidRDefault="00273D75">
      <w:pPr>
        <w:spacing w:line="300" w:lineRule="auto"/>
        <w:jc w:val="both"/>
        <w:rPr>
          <w:color w:val="000000"/>
          <w:sz w:val="24"/>
          <w:szCs w:val="24"/>
        </w:rPr>
      </w:pPr>
      <w:r>
        <w:rPr>
          <w:color w:val="000000"/>
          <w:sz w:val="24"/>
          <w:szCs w:val="24"/>
        </w:rPr>
        <w:t xml:space="preserve">b) mając jednak na uwadze bieżącą linię interpretacyjną DKIS (w zakresie ujęcia dla celów VAT powierzenia zadań własnych JST, co zaprezentowano w pkt. 4 Ekspertyzy), wskazać należy na ryzyko podatkowe w tym zakresie. </w:t>
      </w:r>
    </w:p>
    <w:p w:rsidR="004E59F4" w:rsidRDefault="004E59F4">
      <w:pPr>
        <w:spacing w:line="300" w:lineRule="auto"/>
        <w:jc w:val="both"/>
        <w:rPr>
          <w:color w:val="000000"/>
          <w:sz w:val="12"/>
          <w:szCs w:val="12"/>
        </w:rPr>
      </w:pPr>
    </w:p>
    <w:p w:rsidR="004E59F4" w:rsidRDefault="00273D75">
      <w:pPr>
        <w:spacing w:line="300" w:lineRule="auto"/>
        <w:jc w:val="both"/>
      </w:pPr>
      <w:r>
        <w:rPr>
          <w:color w:val="000000"/>
          <w:sz w:val="24"/>
          <w:szCs w:val="24"/>
        </w:rPr>
        <w:t>3) Wnioski zaprezentowane w pkt 1) i 2) powyżej są niezależne od pobierania odpłatności od pasażerów, tzn. niezależne od tego, czy beneficjent ostateczny (pasażer) będzie ponosić odpłatność, czy też takiej odpłatności nie będzie ponosił.</w:t>
      </w:r>
    </w:p>
    <w:p w:rsidR="004E59F4" w:rsidRDefault="004E59F4">
      <w:pPr>
        <w:spacing w:line="300" w:lineRule="auto"/>
        <w:jc w:val="both"/>
        <w:rPr>
          <w:color w:val="000000"/>
          <w:sz w:val="12"/>
          <w:szCs w:val="12"/>
        </w:rPr>
      </w:pPr>
    </w:p>
    <w:p w:rsidR="004E59F4" w:rsidRDefault="00273D75">
      <w:pPr>
        <w:spacing w:line="300" w:lineRule="auto"/>
        <w:jc w:val="both"/>
      </w:pPr>
      <w:r>
        <w:rPr>
          <w:color w:val="000000"/>
          <w:sz w:val="24"/>
          <w:szCs w:val="24"/>
        </w:rPr>
        <w:t>4) Przy czym, nie można tu wykluczyć takiego ukształtowania wzajemnych stosunków, w ramach których JST sama nie będzie nabywać żadnych usług od PK, ale będzie jedynie dopłacać do usługi transportowej świadczonej przez PK na rzecz pasażerów. W takim przypadku uznać należałoby, iż nie dochodzi do świadczenia usługi pomiędzy PK i JST, a środki przekazywane przez JST do PK powinny (co najwyżej) powiększać podstawę opodatkowania VAT usług świadczonych przez PK na rzecz pasażerów.</w:t>
      </w:r>
    </w:p>
    <w:p w:rsidR="004E59F4" w:rsidRDefault="004E59F4">
      <w:pPr>
        <w:spacing w:line="300" w:lineRule="auto"/>
        <w:jc w:val="both"/>
        <w:rPr>
          <w:color w:val="000000"/>
          <w:sz w:val="12"/>
          <w:szCs w:val="12"/>
        </w:rPr>
      </w:pPr>
    </w:p>
    <w:p w:rsidR="004E59F4" w:rsidRDefault="00273D75">
      <w:pPr>
        <w:spacing w:line="300" w:lineRule="auto"/>
        <w:jc w:val="both"/>
      </w:pPr>
      <w:r>
        <w:rPr>
          <w:color w:val="000000"/>
          <w:sz w:val="24"/>
          <w:szCs w:val="24"/>
        </w:rPr>
        <w:t xml:space="preserve">5) Nie można także wykluczyć ryzyka uznania, iż także i w tym modelu JST świadczy usługi na rzecz pasażera na podstawie art. 8 ust. 2a ustawy o VAT. Organy podatkowe mogłyby zatem uznać, iż JST niejako nabywa usługę od PK, a następnie „odsprzedaje” ją na rzecz pasażera </w:t>
      </w:r>
      <w:r>
        <w:rPr>
          <w:color w:val="000000"/>
          <w:sz w:val="24"/>
          <w:szCs w:val="24"/>
        </w:rPr>
        <w:lastRenderedPageBreak/>
        <w:t>(jako, że zawiera co prawda umowę z PK we własnym imieniu, ale czyni to na rzecz osoby trzeciej, tzn. pasażera). Tym bardziej, że z dodatkowych informacji od PFRON wynikałoby, iż dochód ze świadczenia usług transportowych miałby być zwracany na rachunek danej JST, tj. jeśli pasażerowie (użytkownicy) mieliby uiszczać opłaty, to podmiot komercyjny/organizacja pożytku publicznego odprowadzaliby je na rachunek JST.</w:t>
      </w:r>
    </w:p>
    <w:p w:rsidR="004E59F4" w:rsidRDefault="004E59F4">
      <w:pPr>
        <w:spacing w:line="300" w:lineRule="auto"/>
        <w:jc w:val="both"/>
        <w:rPr>
          <w:color w:val="000000"/>
          <w:sz w:val="12"/>
          <w:szCs w:val="12"/>
        </w:rPr>
      </w:pPr>
    </w:p>
    <w:p w:rsidR="004E59F4" w:rsidRDefault="00273D75">
      <w:pPr>
        <w:spacing w:line="300" w:lineRule="auto"/>
        <w:jc w:val="both"/>
      </w:pPr>
      <w:r>
        <w:rPr>
          <w:color w:val="000000"/>
          <w:sz w:val="24"/>
          <w:szCs w:val="24"/>
        </w:rPr>
        <w:t>6) W naszej ocenie w przypadku, gdyby powierzenie/zlecenie usługi OPP/PK potraktowane zostałoby jako odpłatne świadczenie usługi (opodatkowane VAT) przez OPP/PK na rzecz JST, to JST nie będzie miała prawa do odliczenia VAT, jeśli nabyte usługi nie będą miały związku z wykonywanymi przez JST czynnościami opodatkowanymi VAT (w tym, sama nie będzie świadczyć usługi transportowej na rzecz pasażerów na zasadzie art. 8 ust. 2a ustawy o VAT).</w:t>
      </w:r>
    </w:p>
    <w:p w:rsidR="004E59F4" w:rsidRDefault="004E59F4">
      <w:pPr>
        <w:pStyle w:val="Tekstpodstawowy"/>
        <w:spacing w:line="300" w:lineRule="auto"/>
        <w:jc w:val="both"/>
        <w:rPr>
          <w:b/>
          <w:bCs/>
          <w:sz w:val="24"/>
          <w:szCs w:val="24"/>
        </w:rPr>
      </w:pPr>
    </w:p>
    <w:p w:rsidR="004E59F4" w:rsidRDefault="00273D75">
      <w:pPr>
        <w:pStyle w:val="Tekstpodstawowy"/>
        <w:spacing w:line="300" w:lineRule="auto"/>
        <w:jc w:val="both"/>
        <w:rPr>
          <w:i/>
          <w:iCs/>
        </w:rPr>
      </w:pPr>
      <w:r>
        <w:rPr>
          <w:b/>
          <w:bCs/>
          <w:i/>
          <w:iCs/>
          <w:sz w:val="24"/>
          <w:szCs w:val="24"/>
        </w:rPr>
        <w:t>6. Rozliczenie przejazdu - dokumentacja</w:t>
      </w:r>
    </w:p>
    <w:p w:rsidR="004E59F4" w:rsidRDefault="00273D75">
      <w:pPr>
        <w:pStyle w:val="Tekstpodstawowy"/>
        <w:spacing w:line="300" w:lineRule="auto"/>
        <w:jc w:val="both"/>
      </w:pPr>
      <w:r>
        <w:rPr>
          <w:sz w:val="24"/>
          <w:szCs w:val="24"/>
        </w:rPr>
        <w:t>1) Zasadniczo w przypadku uznania, iż usługa świadczona przez JST podlega opodatkowaniu VAT, rozliczenie przejazdu (usługi door-to-door na rzecz użytkownika – beneficjenta ostatecznego) powinno nastąpić na podstawie paragonu fiskalnego.</w:t>
      </w:r>
    </w:p>
    <w:p w:rsidR="004E59F4" w:rsidRDefault="00273D75">
      <w:pPr>
        <w:pStyle w:val="Tekstpodstawowy"/>
        <w:spacing w:line="300" w:lineRule="auto"/>
        <w:jc w:val="both"/>
      </w:pPr>
      <w:r>
        <w:rPr>
          <w:sz w:val="24"/>
          <w:szCs w:val="24"/>
        </w:rPr>
        <w:t>2) Przy czym, należy wskazać także na ewentualną konieczność wystawienia faktury VAT (na żądanie nabywcy usługi). Z taką sytuacją będziemy mieli do czynienia, jeżeli żądanie jej wystawienia zostało zgłoszone w terminie 3 miesięcy, licząc od końca miesiąca, w którym wykonano usługę bądź otrzymano całość lub część zapłaty.</w:t>
      </w:r>
    </w:p>
    <w:p w:rsidR="004E59F4" w:rsidRDefault="00273D75">
      <w:pPr>
        <w:pStyle w:val="Tekstpodstawowy"/>
        <w:spacing w:line="300" w:lineRule="auto"/>
        <w:jc w:val="both"/>
        <w:rPr>
          <w:sz w:val="24"/>
          <w:szCs w:val="24"/>
        </w:rPr>
      </w:pPr>
      <w:r>
        <w:rPr>
          <w:sz w:val="24"/>
          <w:szCs w:val="24"/>
        </w:rPr>
        <w:t>3) Z kolei, w przypadku uznania, iż usługa świadczona przez JST jest poza VAT, rozliczenie (udokumentowanie) przejazdu powinno nastąpić na podstawie innego dokumentu (niż paragon fiskalny oraz faktura), np. rachunku.</w:t>
      </w:r>
    </w:p>
    <w:p w:rsidR="004E59F4" w:rsidRDefault="004E59F4">
      <w:pPr>
        <w:pStyle w:val="Tekstpodstawowy"/>
        <w:spacing w:line="300" w:lineRule="auto"/>
        <w:jc w:val="both"/>
        <w:rPr>
          <w:sz w:val="24"/>
          <w:szCs w:val="24"/>
        </w:rPr>
      </w:pPr>
    </w:p>
    <w:p w:rsidR="004E59F4" w:rsidRDefault="00273D75">
      <w:pPr>
        <w:pStyle w:val="Tekstpodstawowy"/>
        <w:spacing w:line="300" w:lineRule="auto"/>
        <w:jc w:val="both"/>
        <w:rPr>
          <w:i/>
          <w:iCs/>
        </w:rPr>
      </w:pPr>
      <w:r>
        <w:rPr>
          <w:b/>
          <w:bCs/>
          <w:i/>
          <w:iCs/>
          <w:sz w:val="24"/>
          <w:szCs w:val="24"/>
        </w:rPr>
        <w:t>7. Ewidencja przebiegu pojazdu</w:t>
      </w:r>
    </w:p>
    <w:p w:rsidR="004E59F4" w:rsidRDefault="00273D75">
      <w:pPr>
        <w:pStyle w:val="Tekstpodstawowy"/>
        <w:spacing w:line="300" w:lineRule="auto"/>
        <w:jc w:val="both"/>
      </w:pPr>
      <w:r>
        <w:rPr>
          <w:sz w:val="24"/>
          <w:szCs w:val="24"/>
        </w:rPr>
        <w:t>1) Generalnie rzecz biorąc, ewidencji przebiegu pojazdu w przypadku jego zakupu lub leasingu ze środków grantu nie trzeba będzie prowadzić w przypadku, gdy zakup lub leasing będzie dotyczyć:</w:t>
      </w:r>
    </w:p>
    <w:p w:rsidR="004E59F4" w:rsidRDefault="00273D75">
      <w:pPr>
        <w:pStyle w:val="Tekstpodstawowy"/>
        <w:spacing w:line="300" w:lineRule="auto"/>
        <w:jc w:val="both"/>
      </w:pPr>
      <w:r>
        <w:rPr>
          <w:sz w:val="24"/>
          <w:szCs w:val="24"/>
        </w:rPr>
        <w:t>a) pojazdu innego niż pojazd samochodowy w rozumieniu ustawy o VAT (tj. innego niż pojazd samochodowy w rozumieniu przepisów o ruchu drogowym o dopuszczalnej masie całkowitej nieprzekraczającej 3,5 tony),</w:t>
      </w:r>
    </w:p>
    <w:p w:rsidR="004E59F4" w:rsidRDefault="00273D75">
      <w:pPr>
        <w:pStyle w:val="Tekstpodstawowy"/>
        <w:spacing w:line="300" w:lineRule="auto"/>
        <w:jc w:val="both"/>
      </w:pPr>
      <w:r>
        <w:rPr>
          <w:sz w:val="24"/>
          <w:szCs w:val="24"/>
        </w:rPr>
        <w:lastRenderedPageBreak/>
        <w:t>b) pojazdu samochodowego, w przypadku którego JST nie przysługuje prawo do odliczenia VAT od wydatków z nimi związanych. Z taką sytuacją mamy do czynienia zasadniczo, gdy usługi door-to-door świadczone przez JST nie będą opodatkowane VAT,</w:t>
      </w:r>
    </w:p>
    <w:p w:rsidR="004E59F4" w:rsidRDefault="00273D75">
      <w:pPr>
        <w:pStyle w:val="Tekstpodstawowy"/>
        <w:spacing w:line="300" w:lineRule="auto"/>
        <w:jc w:val="both"/>
      </w:pPr>
      <w:r>
        <w:rPr>
          <w:sz w:val="24"/>
          <w:szCs w:val="24"/>
        </w:rPr>
        <w:t>c) pojazdu samochodowego konstrukcyjnie przeznaczonego do przewozu co najmniej 10 osób łącznie z kierowcą, jeżeli z dokumentów wydanych na podstawie przepisów o ruchu drogowym wynika takie przeznaczenie.</w:t>
      </w:r>
    </w:p>
    <w:p w:rsidR="004E59F4" w:rsidRDefault="00273D75">
      <w:pPr>
        <w:pStyle w:val="Tekstpodstawowy"/>
        <w:spacing w:line="300" w:lineRule="auto"/>
        <w:jc w:val="both"/>
      </w:pPr>
      <w:r>
        <w:rPr>
          <w:sz w:val="24"/>
          <w:szCs w:val="24"/>
        </w:rPr>
        <w:t>2) Ponadto, obowiązek prowadzenia ewidencji nie dotyczy pojazdów samochodowych (w rozumieniu ustawy o VAT), w przypadku których JST przysługuje prawo do odliczenia 50% kwoty VAT od wydatków z nimi związanych. Z taką sytuacją mamy do czynienia zasadniczo, gdy usługi door-to-door świadczone przez JST będą opodatkowane VAT, ale JST nie zapewni (w sposób określony w art. 86a ust. 4 pkt 1 ustawy o VAT), iż pojazdy te będą mogły być uznane za wykorzystywane wyłącznie do działalności gospodarczej.</w:t>
      </w:r>
    </w:p>
    <w:p w:rsidR="004E59F4" w:rsidRDefault="00273D75">
      <w:pPr>
        <w:pStyle w:val="Tekstpodstawowy"/>
        <w:spacing w:line="300" w:lineRule="auto"/>
        <w:jc w:val="both"/>
      </w:pPr>
      <w:r>
        <w:rPr>
          <w:sz w:val="24"/>
          <w:szCs w:val="24"/>
        </w:rPr>
        <w:t>3) Natomiast, jeśli usługi door-to-door świadczone przez JST będą opodatkowane VAT, a JST chcę zapewnić sobie odliczenie 100% VAT od zakupu lub leasingu pojazdu samochodowego w rozumieniu ustawy o VAT (innego niż pojazd samochodowy konstrukcyjnie przeznaczony do przewozu co najmniej 10 osób łącznie z kierowcą, jeżeli z dokumentów wydanych na podstawie przepisów o ruchu drogowym wynika takie przeznaczenie), to trzeba będzie prowadzić ewidencję przebiegu pojazdu.</w:t>
      </w:r>
    </w:p>
    <w:p w:rsidR="004E59F4" w:rsidRDefault="004E59F4">
      <w:pPr>
        <w:pStyle w:val="Tekstpodstawowy"/>
        <w:spacing w:line="300" w:lineRule="auto"/>
        <w:jc w:val="both"/>
        <w:rPr>
          <w:b/>
          <w:bCs/>
          <w:sz w:val="24"/>
          <w:szCs w:val="24"/>
        </w:rPr>
      </w:pPr>
    </w:p>
    <w:p w:rsidR="004E59F4" w:rsidRDefault="00273D75">
      <w:pPr>
        <w:pStyle w:val="Tekstpodstawowy"/>
        <w:spacing w:after="57" w:line="300" w:lineRule="auto"/>
        <w:jc w:val="both"/>
        <w:rPr>
          <w:i/>
          <w:iCs/>
        </w:rPr>
      </w:pPr>
      <w:r>
        <w:rPr>
          <w:b/>
          <w:bCs/>
          <w:i/>
          <w:iCs/>
          <w:sz w:val="24"/>
          <w:szCs w:val="24"/>
        </w:rPr>
        <w:t>8. Weryfikacja kwalifikowalności podatku VAT</w:t>
      </w:r>
    </w:p>
    <w:p w:rsidR="004E59F4" w:rsidRDefault="00273D75">
      <w:pPr>
        <w:pStyle w:val="Tekstpodstawowy"/>
        <w:spacing w:line="300" w:lineRule="auto"/>
        <w:jc w:val="both"/>
      </w:pPr>
      <w:r>
        <w:rPr>
          <w:sz w:val="24"/>
          <w:szCs w:val="24"/>
        </w:rPr>
        <w:t>1) W naszej ocenie, w ramach rozliczania grantów PFRON powinien weryfikować kwalifikowalność podatku VAT przede wszystkim poprzez składane przez wnioskodawców oświadczenia o kwalifikowalności VAT. W ramach (na etapie) rozliczania grantów beneficjent powinien złożyć ponowne oświadczenie w ww. zakresie.</w:t>
      </w:r>
    </w:p>
    <w:p w:rsidR="004E59F4" w:rsidRDefault="00273D75">
      <w:pPr>
        <w:pStyle w:val="Tekstpodstawowy"/>
        <w:spacing w:line="300" w:lineRule="auto"/>
        <w:jc w:val="both"/>
        <w:rPr>
          <w:sz w:val="24"/>
          <w:szCs w:val="24"/>
        </w:rPr>
      </w:pPr>
      <w:r>
        <w:rPr>
          <w:sz w:val="24"/>
          <w:szCs w:val="24"/>
        </w:rPr>
        <w:t>2) Ponadto, w celu weryfikacji przez PFRON kwalifikowalności podatku VAT, można by także zobowiązać wnioskodawców do wypełniania ankiet sprawdzających kwalifikowalność VAT.</w:t>
      </w:r>
    </w:p>
    <w:p w:rsidR="004E59F4" w:rsidRDefault="00273D75">
      <w:pPr>
        <w:pStyle w:val="Tekstpodstawowy"/>
        <w:spacing w:line="300" w:lineRule="auto"/>
        <w:jc w:val="both"/>
        <w:rPr>
          <w:sz w:val="24"/>
          <w:szCs w:val="24"/>
        </w:rPr>
      </w:pPr>
      <w:r>
        <w:rPr>
          <w:sz w:val="24"/>
          <w:szCs w:val="24"/>
        </w:rPr>
        <w:t>3) Dodatkowo, w naszej ocenie, PFRON mógłby także wymagać przedłożenia indywidualnej interpretacji podatkowej w zakresie VAT z tytułu realizacji projektu u tych wnioskodawców, którzy złożyli oświadczenie o kwalifikowalności VAT, uznając, iż VAT jest kwalifikowalny.</w:t>
      </w:r>
    </w:p>
    <w:p w:rsidR="004E59F4" w:rsidRDefault="004E59F4">
      <w:pPr>
        <w:spacing w:line="300" w:lineRule="auto"/>
        <w:jc w:val="center"/>
        <w:rPr>
          <w:sz w:val="24"/>
          <w:szCs w:val="24"/>
        </w:rPr>
      </w:pPr>
    </w:p>
    <w:p w:rsidR="004E59F4" w:rsidRDefault="004E59F4">
      <w:pPr>
        <w:spacing w:line="300" w:lineRule="auto"/>
        <w:jc w:val="center"/>
        <w:rPr>
          <w:sz w:val="24"/>
          <w:szCs w:val="24"/>
        </w:rPr>
      </w:pPr>
    </w:p>
    <w:p w:rsidR="004E59F4" w:rsidRDefault="004E59F4">
      <w:pPr>
        <w:spacing w:line="300" w:lineRule="auto"/>
        <w:jc w:val="center"/>
        <w:rPr>
          <w:sz w:val="24"/>
          <w:szCs w:val="24"/>
        </w:rPr>
      </w:pPr>
    </w:p>
    <w:p w:rsidR="004E59F4" w:rsidRDefault="004E59F4">
      <w:pPr>
        <w:spacing w:line="300" w:lineRule="auto"/>
        <w:jc w:val="center"/>
        <w:rPr>
          <w:sz w:val="24"/>
          <w:szCs w:val="24"/>
        </w:rPr>
      </w:pPr>
    </w:p>
    <w:p w:rsidR="004E59F4" w:rsidRDefault="004E59F4">
      <w:pPr>
        <w:spacing w:line="300" w:lineRule="auto"/>
        <w:jc w:val="center"/>
        <w:rPr>
          <w:sz w:val="24"/>
          <w:szCs w:val="24"/>
        </w:rPr>
      </w:pPr>
    </w:p>
    <w:p w:rsidR="004E59F4" w:rsidRDefault="004E59F4">
      <w:pPr>
        <w:spacing w:line="300" w:lineRule="auto"/>
        <w:jc w:val="center"/>
        <w:rPr>
          <w:sz w:val="24"/>
          <w:szCs w:val="24"/>
        </w:rPr>
      </w:pPr>
    </w:p>
    <w:p w:rsidR="004E59F4" w:rsidRDefault="004E59F4">
      <w:pPr>
        <w:spacing w:line="300" w:lineRule="auto"/>
        <w:jc w:val="center"/>
        <w:rPr>
          <w:sz w:val="24"/>
          <w:szCs w:val="24"/>
        </w:rPr>
      </w:pPr>
    </w:p>
    <w:p w:rsidR="004E59F4" w:rsidRDefault="004E59F4">
      <w:pPr>
        <w:spacing w:line="300" w:lineRule="auto"/>
        <w:jc w:val="center"/>
        <w:rPr>
          <w:sz w:val="24"/>
          <w:szCs w:val="24"/>
        </w:rPr>
      </w:pPr>
    </w:p>
    <w:p w:rsidR="004E59F4" w:rsidRDefault="004E59F4">
      <w:pPr>
        <w:spacing w:line="300" w:lineRule="auto"/>
        <w:jc w:val="center"/>
        <w:rPr>
          <w:sz w:val="24"/>
          <w:szCs w:val="24"/>
        </w:rPr>
      </w:pPr>
    </w:p>
    <w:p w:rsidR="004E59F4" w:rsidRDefault="004E59F4">
      <w:pPr>
        <w:spacing w:line="300" w:lineRule="auto"/>
        <w:jc w:val="center"/>
        <w:rPr>
          <w:sz w:val="24"/>
          <w:szCs w:val="24"/>
        </w:rPr>
      </w:pPr>
    </w:p>
    <w:p w:rsidR="004E59F4" w:rsidRDefault="00273D75">
      <w:pPr>
        <w:spacing w:line="300" w:lineRule="auto"/>
        <w:jc w:val="center"/>
      </w:pPr>
      <w:r>
        <w:rPr>
          <w:sz w:val="24"/>
          <w:szCs w:val="24"/>
        </w:rPr>
        <w:t>Katowice, dnia 24 kwietnia 2020 roku</w:t>
      </w:r>
    </w:p>
    <w:p w:rsidR="004E59F4" w:rsidRDefault="004E59F4">
      <w:pPr>
        <w:spacing w:line="300" w:lineRule="auto"/>
        <w:jc w:val="center"/>
        <w:rPr>
          <w:rFonts w:ascii="Calibri" w:hAnsi="Calibri"/>
          <w:sz w:val="24"/>
          <w:szCs w:val="24"/>
        </w:rPr>
      </w:pPr>
    </w:p>
    <w:p w:rsidR="004E59F4" w:rsidRDefault="004E59F4">
      <w:pPr>
        <w:spacing w:line="300" w:lineRule="auto"/>
        <w:jc w:val="center"/>
        <w:rPr>
          <w:rFonts w:ascii="Calibri" w:hAnsi="Calibri"/>
          <w:sz w:val="24"/>
          <w:szCs w:val="24"/>
        </w:rPr>
      </w:pPr>
    </w:p>
    <w:p w:rsidR="004E59F4" w:rsidRDefault="004E59F4">
      <w:pPr>
        <w:spacing w:line="300" w:lineRule="auto"/>
        <w:jc w:val="both"/>
        <w:rPr>
          <w:rFonts w:ascii="Calibri" w:hAnsi="Calibri"/>
          <w:b/>
          <w:bCs/>
          <w:sz w:val="24"/>
          <w:szCs w:val="24"/>
        </w:rPr>
      </w:pPr>
    </w:p>
    <w:p w:rsidR="004E59F4" w:rsidRDefault="00273D75">
      <w:pPr>
        <w:spacing w:line="300" w:lineRule="auto"/>
        <w:jc w:val="center"/>
        <w:rPr>
          <w:rFonts w:ascii="Calibri" w:hAnsi="Calibri"/>
          <w:sz w:val="24"/>
          <w:szCs w:val="24"/>
        </w:rPr>
      </w:pPr>
      <w:r>
        <w:rPr>
          <w:sz w:val="24"/>
          <w:szCs w:val="24"/>
        </w:rPr>
        <w:t xml:space="preserve">Grupa </w:t>
      </w:r>
      <w:proofErr w:type="spellStart"/>
      <w:r>
        <w:rPr>
          <w:sz w:val="24"/>
          <w:szCs w:val="24"/>
        </w:rPr>
        <w:t>Gumułka</w:t>
      </w:r>
      <w:proofErr w:type="spellEnd"/>
      <w:r>
        <w:rPr>
          <w:sz w:val="24"/>
          <w:szCs w:val="24"/>
        </w:rPr>
        <w:t xml:space="preserve"> – Kancelaria Prawa Finansowego Sp. z o. o.</w:t>
      </w:r>
    </w:p>
    <w:p w:rsidR="004E59F4" w:rsidRDefault="00273D75">
      <w:pPr>
        <w:spacing w:line="300" w:lineRule="auto"/>
        <w:jc w:val="center"/>
        <w:rPr>
          <w:rFonts w:ascii="Calibri" w:hAnsi="Calibri"/>
          <w:sz w:val="24"/>
          <w:szCs w:val="24"/>
        </w:rPr>
      </w:pPr>
      <w:r>
        <w:rPr>
          <w:sz w:val="24"/>
          <w:szCs w:val="24"/>
        </w:rPr>
        <w:t>ul. Matejki 4, 40-077 Katowice</w:t>
      </w:r>
    </w:p>
    <w:p w:rsidR="004E59F4" w:rsidRDefault="00273D75">
      <w:pPr>
        <w:spacing w:line="300" w:lineRule="auto"/>
        <w:jc w:val="center"/>
        <w:rPr>
          <w:rFonts w:ascii="Calibri" w:hAnsi="Calibri"/>
          <w:i/>
          <w:iCs/>
          <w:sz w:val="24"/>
          <w:szCs w:val="24"/>
        </w:rPr>
      </w:pPr>
      <w:r>
        <w:rPr>
          <w:i/>
          <w:iCs/>
          <w:sz w:val="24"/>
          <w:szCs w:val="24"/>
        </w:rPr>
        <w:t xml:space="preserve">(podmiot wpisany do rejestru osób prawnych </w:t>
      </w:r>
    </w:p>
    <w:p w:rsidR="004E59F4" w:rsidRDefault="00273D75">
      <w:pPr>
        <w:spacing w:line="300" w:lineRule="auto"/>
        <w:jc w:val="center"/>
        <w:rPr>
          <w:rFonts w:ascii="Calibri" w:hAnsi="Calibri"/>
          <w:i/>
          <w:iCs/>
          <w:sz w:val="24"/>
          <w:szCs w:val="24"/>
        </w:rPr>
      </w:pPr>
      <w:r>
        <w:rPr>
          <w:i/>
          <w:iCs/>
          <w:sz w:val="24"/>
          <w:szCs w:val="24"/>
        </w:rPr>
        <w:t>uprawnionych do wykonywania doradztwa podatkowego)</w:t>
      </w:r>
    </w:p>
    <w:p w:rsidR="004E59F4" w:rsidRDefault="004E59F4">
      <w:pPr>
        <w:spacing w:line="300" w:lineRule="auto"/>
        <w:jc w:val="both"/>
        <w:rPr>
          <w:rFonts w:ascii="Calibri" w:hAnsi="Calibri"/>
          <w:b/>
          <w:bCs/>
          <w:i/>
          <w:iCs/>
          <w:sz w:val="24"/>
          <w:szCs w:val="24"/>
        </w:rPr>
      </w:pPr>
    </w:p>
    <w:p w:rsidR="004E59F4" w:rsidRDefault="004E59F4">
      <w:pPr>
        <w:spacing w:line="300" w:lineRule="auto"/>
        <w:jc w:val="both"/>
        <w:rPr>
          <w:rFonts w:ascii="Calibri" w:hAnsi="Calibri"/>
          <w:b/>
          <w:bCs/>
          <w:sz w:val="24"/>
          <w:szCs w:val="24"/>
        </w:rPr>
      </w:pPr>
    </w:p>
    <w:p w:rsidR="004E59F4" w:rsidRDefault="004E59F4">
      <w:pPr>
        <w:spacing w:line="300" w:lineRule="auto"/>
        <w:jc w:val="both"/>
        <w:rPr>
          <w:rFonts w:ascii="Calibri" w:hAnsi="Calibri"/>
          <w:b/>
          <w:bCs/>
          <w:i/>
          <w:iCs/>
          <w:sz w:val="24"/>
          <w:szCs w:val="24"/>
        </w:rPr>
      </w:pPr>
    </w:p>
    <w:p w:rsidR="004E59F4" w:rsidRDefault="00273D75">
      <w:pPr>
        <w:spacing w:line="300" w:lineRule="auto"/>
        <w:jc w:val="center"/>
        <w:rPr>
          <w:rFonts w:ascii="Calibri" w:hAnsi="Calibri"/>
          <w:i/>
          <w:iCs/>
          <w:sz w:val="24"/>
          <w:szCs w:val="24"/>
        </w:rPr>
      </w:pPr>
      <w:r>
        <w:rPr>
          <w:i/>
          <w:iCs/>
          <w:sz w:val="24"/>
          <w:szCs w:val="24"/>
        </w:rPr>
        <w:t>Jarosław Ferdyn</w:t>
      </w:r>
    </w:p>
    <w:p w:rsidR="004E59F4" w:rsidRDefault="00273D75">
      <w:pPr>
        <w:spacing w:line="300" w:lineRule="auto"/>
        <w:jc w:val="center"/>
        <w:rPr>
          <w:rFonts w:ascii="Calibri" w:hAnsi="Calibri"/>
          <w:sz w:val="24"/>
          <w:szCs w:val="24"/>
        </w:rPr>
      </w:pPr>
      <w:r>
        <w:rPr>
          <w:sz w:val="24"/>
          <w:szCs w:val="24"/>
        </w:rPr>
        <w:t>Doradca Podatkowy</w:t>
      </w:r>
    </w:p>
    <w:p w:rsidR="004E59F4" w:rsidRDefault="00273D75">
      <w:pPr>
        <w:spacing w:line="300" w:lineRule="auto"/>
        <w:jc w:val="center"/>
      </w:pPr>
      <w:r>
        <w:rPr>
          <w:sz w:val="24"/>
          <w:szCs w:val="24"/>
        </w:rPr>
        <w:t>(numer wpisu 11220)</w:t>
      </w:r>
    </w:p>
    <w:p w:rsidR="004E59F4" w:rsidRDefault="004E59F4">
      <w:pPr>
        <w:sectPr w:rsidR="004E59F4">
          <w:headerReference w:type="default" r:id="rId7"/>
          <w:footerReference w:type="default" r:id="rId8"/>
          <w:pgSz w:w="11906" w:h="16838"/>
          <w:pgMar w:top="2114" w:right="1417" w:bottom="312" w:left="1417" w:header="0" w:footer="255" w:gutter="0"/>
          <w:cols w:space="708"/>
          <w:formProt w:val="0"/>
          <w:docGrid w:linePitch="360" w:charSpace="8192"/>
        </w:sectPr>
      </w:pPr>
    </w:p>
    <w:p w:rsidR="004E59F4" w:rsidRDefault="004E59F4"/>
    <w:p w:rsidR="004E59F4" w:rsidRDefault="004E59F4">
      <w:pPr>
        <w:sectPr w:rsidR="004E59F4">
          <w:type w:val="continuous"/>
          <w:pgSz w:w="11906" w:h="16838"/>
          <w:pgMar w:top="2114" w:right="1417" w:bottom="312" w:left="1417" w:header="0" w:footer="255" w:gutter="0"/>
          <w:cols w:space="708"/>
          <w:formProt w:val="0"/>
          <w:docGrid w:linePitch="360" w:charSpace="8192"/>
        </w:sectPr>
      </w:pPr>
    </w:p>
    <w:p w:rsidR="004E59F4" w:rsidRDefault="004E59F4"/>
    <w:p w:rsidR="004E59F4" w:rsidRDefault="004E59F4">
      <w:pPr>
        <w:sectPr w:rsidR="004E59F4">
          <w:type w:val="continuous"/>
          <w:pgSz w:w="11906" w:h="16838"/>
          <w:pgMar w:top="2114" w:right="1417" w:bottom="312" w:left="1417" w:header="0" w:footer="255" w:gutter="0"/>
          <w:cols w:space="708"/>
          <w:formProt w:val="0"/>
          <w:docGrid w:linePitch="360" w:charSpace="8192"/>
        </w:sectPr>
      </w:pPr>
    </w:p>
    <w:p w:rsidR="004E59F4" w:rsidRDefault="004E59F4"/>
    <w:p w:rsidR="004E59F4" w:rsidRDefault="004E59F4">
      <w:pPr>
        <w:sectPr w:rsidR="004E59F4">
          <w:type w:val="continuous"/>
          <w:pgSz w:w="11906" w:h="16838"/>
          <w:pgMar w:top="2114" w:right="1417" w:bottom="312" w:left="1417" w:header="0" w:footer="255" w:gutter="0"/>
          <w:cols w:space="708"/>
          <w:formProt w:val="0"/>
          <w:docGrid w:linePitch="360" w:charSpace="8192"/>
        </w:sectPr>
      </w:pPr>
    </w:p>
    <w:p w:rsidR="004E59F4" w:rsidRDefault="004E59F4"/>
    <w:p w:rsidR="004E59F4" w:rsidRDefault="004E59F4">
      <w:pPr>
        <w:sectPr w:rsidR="004E59F4">
          <w:type w:val="continuous"/>
          <w:pgSz w:w="11906" w:h="16838"/>
          <w:pgMar w:top="2114" w:right="1417" w:bottom="312" w:left="1417" w:header="0" w:footer="255" w:gutter="0"/>
          <w:cols w:space="708"/>
          <w:formProt w:val="0"/>
          <w:docGrid w:linePitch="360" w:charSpace="8192"/>
        </w:sectPr>
      </w:pPr>
    </w:p>
    <w:p w:rsidR="004E59F4" w:rsidRDefault="004E59F4"/>
    <w:p w:rsidR="004E59F4" w:rsidRDefault="004E59F4">
      <w:pPr>
        <w:sectPr w:rsidR="004E59F4">
          <w:type w:val="continuous"/>
          <w:pgSz w:w="11906" w:h="16838"/>
          <w:pgMar w:top="2114" w:right="1417" w:bottom="312" w:left="1417" w:header="0" w:footer="255" w:gutter="0"/>
          <w:cols w:space="708"/>
          <w:formProt w:val="0"/>
          <w:docGrid w:linePitch="360" w:charSpace="8192"/>
        </w:sectPr>
      </w:pPr>
    </w:p>
    <w:p w:rsidR="004E59F4" w:rsidRDefault="004E59F4">
      <w:pPr>
        <w:widowControl w:val="0"/>
        <w:suppressAutoHyphens/>
        <w:spacing w:line="360" w:lineRule="auto"/>
        <w:ind w:firstLine="5529"/>
      </w:pPr>
    </w:p>
    <w:p w:rsidR="004E59F4" w:rsidRDefault="004E59F4">
      <w:pPr>
        <w:sectPr w:rsidR="004E59F4">
          <w:type w:val="continuous"/>
          <w:pgSz w:w="11906" w:h="16838"/>
          <w:pgMar w:top="2114" w:right="1417" w:bottom="312" w:left="1417" w:header="0" w:footer="255" w:gutter="0"/>
          <w:cols w:space="708"/>
          <w:formProt w:val="0"/>
          <w:docGrid w:linePitch="360" w:charSpace="8192"/>
        </w:sectPr>
      </w:pPr>
    </w:p>
    <w:p w:rsidR="004E59F4" w:rsidRDefault="004E59F4"/>
    <w:p w:rsidR="004E59F4" w:rsidRDefault="004E59F4">
      <w:pPr>
        <w:sectPr w:rsidR="004E59F4">
          <w:type w:val="continuous"/>
          <w:pgSz w:w="11906" w:h="16838"/>
          <w:pgMar w:top="2114" w:right="1417" w:bottom="312" w:left="1417" w:header="0" w:footer="255" w:gutter="0"/>
          <w:cols w:space="708"/>
          <w:formProt w:val="0"/>
          <w:docGrid w:linePitch="360" w:charSpace="8192"/>
        </w:sectPr>
      </w:pPr>
    </w:p>
    <w:p w:rsidR="004E59F4" w:rsidRDefault="004E59F4"/>
    <w:p w:rsidR="004E59F4" w:rsidRDefault="004E59F4">
      <w:pPr>
        <w:sectPr w:rsidR="004E59F4">
          <w:type w:val="continuous"/>
          <w:pgSz w:w="11906" w:h="16838"/>
          <w:pgMar w:top="2114" w:right="1417" w:bottom="312" w:left="1417" w:header="0" w:footer="255" w:gutter="0"/>
          <w:cols w:space="708"/>
          <w:formProt w:val="0"/>
          <w:docGrid w:linePitch="360" w:charSpace="8192"/>
        </w:sectPr>
      </w:pPr>
    </w:p>
    <w:p w:rsidR="00273D75" w:rsidRDefault="00273D75"/>
    <w:sectPr w:rsidR="00273D75">
      <w:type w:val="continuous"/>
      <w:pgSz w:w="11906" w:h="16838"/>
      <w:pgMar w:top="2114" w:right="1417" w:bottom="312" w:left="1417" w:header="0" w:footer="255"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40E" w:rsidRDefault="00BD040E">
      <w:r>
        <w:separator/>
      </w:r>
    </w:p>
  </w:endnote>
  <w:endnote w:type="continuationSeparator" w:id="0">
    <w:p w:rsidR="00BD040E" w:rsidRDefault="00BD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 Mincho Light J;msmincho">
    <w:panose1 w:val="00000000000000000000"/>
    <w:charset w:val="00"/>
    <w:family w:val="roman"/>
    <w:notTrueType/>
    <w:pitch w:val="default"/>
  </w:font>
  <w:font w:name="Arial Unicode MS;Arial">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9F4" w:rsidRDefault="00273D75">
    <w:pPr>
      <w:pStyle w:val="Stopka"/>
    </w:pPr>
    <w:r>
      <w:rPr>
        <w:noProof/>
      </w:rPr>
      <w:drawing>
        <wp:inline distT="0" distB="0" distL="0" distR="0">
          <wp:extent cx="1706880" cy="902335"/>
          <wp:effectExtent l="0" t="0" r="0" b="0"/>
          <wp:docPr id="2" name="Obraz 104"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04"/>
                  <pic:cNvPicPr>
                    <a:picLocks noChangeAspect="1" noChangeArrowheads="1"/>
                  </pic:cNvPicPr>
                </pic:nvPicPr>
                <pic:blipFill>
                  <a:blip r:embed="rId1"/>
                  <a:stretch>
                    <a:fillRect/>
                  </a:stretch>
                </pic:blipFill>
                <pic:spPr bwMode="auto">
                  <a:xfrm>
                    <a:off x="0" y="0"/>
                    <a:ext cx="1706880" cy="902335"/>
                  </a:xfrm>
                  <a:prstGeom prst="rect">
                    <a:avLst/>
                  </a:prstGeom>
                </pic:spPr>
              </pic:pic>
            </a:graphicData>
          </a:graphic>
        </wp:inline>
      </w:drawing>
    </w:r>
    <w:r>
      <w:tab/>
    </w:r>
    <w:r>
      <w:fldChar w:fldCharType="begin"/>
    </w:r>
    <w:r>
      <w:instrText>PAGE</w:instrText>
    </w:r>
    <w:r>
      <w:fldChar w:fldCharType="separate"/>
    </w:r>
    <w:r>
      <w:t>71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40E" w:rsidRDefault="00BD040E">
      <w:r>
        <w:separator/>
      </w:r>
    </w:p>
  </w:footnote>
  <w:footnote w:type="continuationSeparator" w:id="0">
    <w:p w:rsidR="00BD040E" w:rsidRDefault="00BD0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9F4" w:rsidRDefault="00273D75">
    <w:pPr>
      <w:pStyle w:val="Nagwek"/>
      <w:jc w:val="center"/>
    </w:pPr>
    <w:r>
      <w:rPr>
        <w:noProof/>
      </w:rPr>
      <w:drawing>
        <wp:inline distT="0" distB="0" distL="0" distR="0">
          <wp:extent cx="5756910" cy="731520"/>
          <wp:effectExtent l="0" t="0" r="0" b="0"/>
          <wp:docPr id="1" name="Obraz 103" descr="Logotypy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03" descr="Logotypy funduszy europejskich"/>
                  <pic:cNvPicPr>
                    <a:picLocks noChangeAspect="1" noChangeArrowheads="1"/>
                  </pic:cNvPicPr>
                </pic:nvPicPr>
                <pic:blipFill>
                  <a:blip r:embed="rId1"/>
                  <a:stretch>
                    <a:fillRect/>
                  </a:stretch>
                </pic:blipFill>
                <pic:spPr bwMode="auto">
                  <a:xfrm>
                    <a:off x="0" y="0"/>
                    <a:ext cx="5756910" cy="731520"/>
                  </a:xfrm>
                  <a:prstGeom prst="rect">
                    <a:avLst/>
                  </a:prstGeom>
                </pic:spPr>
              </pic:pic>
            </a:graphicData>
          </a:graphic>
        </wp:inline>
      </w:drawing>
    </w:r>
    <w:r>
      <w:rPr>
        <w:i/>
      </w:rPr>
      <w:t>Usługi indywidualnego transportu door-to-door oraz poprawa dostępności architektonicznej wielorodzinnych budynków mieszkalnych</w:t>
    </w:r>
  </w:p>
  <w:p w:rsidR="004E59F4" w:rsidRDefault="004E59F4">
    <w:pPr>
      <w:pStyle w:val="Nagwek"/>
      <w:pBdr>
        <w:bottom w:val="single" w:sz="6" w:space="1" w:color="000000"/>
      </w:pBdr>
      <w:jc w:val="center"/>
      <w:rPr>
        <w:i/>
      </w:rPr>
    </w:pPr>
  </w:p>
  <w:p w:rsidR="004E59F4" w:rsidRDefault="004E59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DCB"/>
    <w:multiLevelType w:val="multilevel"/>
    <w:tmpl w:val="E2985D90"/>
    <w:lvl w:ilvl="0">
      <w:start w:val="1"/>
      <w:numFmt w:val="decimal"/>
      <w:lvlText w:val="%1."/>
      <w:lvlJc w:val="left"/>
      <w:pPr>
        <w:tabs>
          <w:tab w:val="num" w:pos="720"/>
        </w:tabs>
        <w:ind w:left="720" w:hanging="360"/>
      </w:pPr>
      <w:rPr>
        <w:rFonts w:ascii="Calibri" w:hAnsi="Calibri" w:cs="Garamond"/>
        <w:b/>
        <w:bCs/>
        <w:sz w:val="24"/>
      </w:rPr>
    </w:lvl>
    <w:lvl w:ilvl="1">
      <w:start w:val="1"/>
      <w:numFmt w:val="decimal"/>
      <w:lvlText w:val="%2."/>
      <w:lvlJc w:val="left"/>
      <w:pPr>
        <w:tabs>
          <w:tab w:val="num" w:pos="1080"/>
        </w:tabs>
        <w:ind w:left="1080" w:hanging="360"/>
      </w:pPr>
      <w:rPr>
        <w:rFonts w:cs="Garamond"/>
        <w:b/>
        <w:bCs/>
      </w:rPr>
    </w:lvl>
    <w:lvl w:ilvl="2">
      <w:start w:val="1"/>
      <w:numFmt w:val="decimal"/>
      <w:lvlText w:val="%3."/>
      <w:lvlJc w:val="left"/>
      <w:pPr>
        <w:tabs>
          <w:tab w:val="num" w:pos="1440"/>
        </w:tabs>
        <w:ind w:left="1440" w:hanging="360"/>
      </w:pPr>
      <w:rPr>
        <w:rFonts w:cs="Garamond"/>
        <w:b/>
        <w:bCs/>
      </w:rPr>
    </w:lvl>
    <w:lvl w:ilvl="3">
      <w:start w:val="1"/>
      <w:numFmt w:val="decimal"/>
      <w:lvlText w:val="%4."/>
      <w:lvlJc w:val="left"/>
      <w:pPr>
        <w:tabs>
          <w:tab w:val="num" w:pos="1800"/>
        </w:tabs>
        <w:ind w:left="1800" w:hanging="360"/>
      </w:pPr>
      <w:rPr>
        <w:rFonts w:cs="Garamond"/>
        <w:b/>
        <w:bCs/>
      </w:rPr>
    </w:lvl>
    <w:lvl w:ilvl="4">
      <w:start w:val="1"/>
      <w:numFmt w:val="decimal"/>
      <w:lvlText w:val="%5."/>
      <w:lvlJc w:val="left"/>
      <w:pPr>
        <w:tabs>
          <w:tab w:val="num" w:pos="2160"/>
        </w:tabs>
        <w:ind w:left="2160" w:hanging="360"/>
      </w:pPr>
      <w:rPr>
        <w:rFonts w:cs="Garamond"/>
        <w:b/>
        <w:bCs/>
      </w:rPr>
    </w:lvl>
    <w:lvl w:ilvl="5">
      <w:start w:val="1"/>
      <w:numFmt w:val="decimal"/>
      <w:lvlText w:val="%6."/>
      <w:lvlJc w:val="left"/>
      <w:pPr>
        <w:tabs>
          <w:tab w:val="num" w:pos="2520"/>
        </w:tabs>
        <w:ind w:left="2520" w:hanging="360"/>
      </w:pPr>
      <w:rPr>
        <w:rFonts w:cs="Garamond"/>
        <w:b/>
        <w:bCs/>
      </w:rPr>
    </w:lvl>
    <w:lvl w:ilvl="6">
      <w:start w:val="1"/>
      <w:numFmt w:val="decimal"/>
      <w:lvlText w:val="%7."/>
      <w:lvlJc w:val="left"/>
      <w:pPr>
        <w:tabs>
          <w:tab w:val="num" w:pos="2880"/>
        </w:tabs>
        <w:ind w:left="2880" w:hanging="360"/>
      </w:pPr>
      <w:rPr>
        <w:rFonts w:cs="Garamond"/>
        <w:b/>
        <w:bCs/>
      </w:rPr>
    </w:lvl>
    <w:lvl w:ilvl="7">
      <w:start w:val="1"/>
      <w:numFmt w:val="decimal"/>
      <w:lvlText w:val="%8."/>
      <w:lvlJc w:val="left"/>
      <w:pPr>
        <w:tabs>
          <w:tab w:val="num" w:pos="3240"/>
        </w:tabs>
        <w:ind w:left="3240" w:hanging="360"/>
      </w:pPr>
      <w:rPr>
        <w:rFonts w:cs="Garamond"/>
        <w:b/>
        <w:bCs/>
      </w:rPr>
    </w:lvl>
    <w:lvl w:ilvl="8">
      <w:start w:val="1"/>
      <w:numFmt w:val="decimal"/>
      <w:lvlText w:val="%9."/>
      <w:lvlJc w:val="left"/>
      <w:pPr>
        <w:tabs>
          <w:tab w:val="num" w:pos="3600"/>
        </w:tabs>
        <w:ind w:left="3600" w:hanging="360"/>
      </w:pPr>
      <w:rPr>
        <w:rFonts w:cs="Garamond"/>
        <w:b/>
        <w:bCs/>
      </w:rPr>
    </w:lvl>
  </w:abstractNum>
  <w:abstractNum w:abstractNumId="1" w15:restartNumberingAfterBreak="0">
    <w:nsid w:val="06B51129"/>
    <w:multiLevelType w:val="multilevel"/>
    <w:tmpl w:val="0EAC32A4"/>
    <w:lvl w:ilvl="0">
      <w:start w:val="1"/>
      <w:numFmt w:val="decimal"/>
      <w:lvlText w:val="%1)"/>
      <w:lvlJc w:val="left"/>
      <w:pPr>
        <w:tabs>
          <w:tab w:val="num" w:pos="720"/>
        </w:tabs>
        <w:ind w:left="720" w:hanging="360"/>
      </w:pPr>
      <w:rPr>
        <w:rFonts w:ascii="Calibri" w:hAnsi="Calibri" w:cs="Garamond"/>
        <w:b/>
        <w:bCs/>
        <w:sz w:val="24"/>
      </w:rPr>
    </w:lvl>
    <w:lvl w:ilvl="1">
      <w:start w:val="1"/>
      <w:numFmt w:val="decimal"/>
      <w:lvlText w:val="%2)"/>
      <w:lvlJc w:val="left"/>
      <w:pPr>
        <w:tabs>
          <w:tab w:val="num" w:pos="1080"/>
        </w:tabs>
        <w:ind w:left="1080" w:hanging="360"/>
      </w:pPr>
      <w:rPr>
        <w:rFonts w:cs="Garamond"/>
        <w:b/>
        <w:bCs/>
      </w:rPr>
    </w:lvl>
    <w:lvl w:ilvl="2">
      <w:start w:val="1"/>
      <w:numFmt w:val="decimal"/>
      <w:lvlText w:val="%3)"/>
      <w:lvlJc w:val="left"/>
      <w:pPr>
        <w:tabs>
          <w:tab w:val="num" w:pos="1440"/>
        </w:tabs>
        <w:ind w:left="1440" w:hanging="360"/>
      </w:pPr>
      <w:rPr>
        <w:rFonts w:cs="Garamond"/>
        <w:b/>
        <w:bCs/>
      </w:rPr>
    </w:lvl>
    <w:lvl w:ilvl="3">
      <w:start w:val="1"/>
      <w:numFmt w:val="decimal"/>
      <w:lvlText w:val="%4)"/>
      <w:lvlJc w:val="left"/>
      <w:pPr>
        <w:tabs>
          <w:tab w:val="num" w:pos="1800"/>
        </w:tabs>
        <w:ind w:left="1800" w:hanging="360"/>
      </w:pPr>
      <w:rPr>
        <w:rFonts w:cs="Garamond"/>
        <w:b/>
        <w:bCs/>
      </w:rPr>
    </w:lvl>
    <w:lvl w:ilvl="4">
      <w:start w:val="1"/>
      <w:numFmt w:val="decimal"/>
      <w:lvlText w:val="%5)"/>
      <w:lvlJc w:val="left"/>
      <w:pPr>
        <w:tabs>
          <w:tab w:val="num" w:pos="2160"/>
        </w:tabs>
        <w:ind w:left="2160" w:hanging="360"/>
      </w:pPr>
      <w:rPr>
        <w:rFonts w:cs="Garamond"/>
        <w:b/>
        <w:bCs/>
      </w:rPr>
    </w:lvl>
    <w:lvl w:ilvl="5">
      <w:start w:val="1"/>
      <w:numFmt w:val="decimal"/>
      <w:lvlText w:val="%6)"/>
      <w:lvlJc w:val="left"/>
      <w:pPr>
        <w:tabs>
          <w:tab w:val="num" w:pos="2520"/>
        </w:tabs>
        <w:ind w:left="2520" w:hanging="360"/>
      </w:pPr>
      <w:rPr>
        <w:rFonts w:cs="Garamond"/>
        <w:b/>
        <w:bCs/>
      </w:rPr>
    </w:lvl>
    <w:lvl w:ilvl="6">
      <w:start w:val="1"/>
      <w:numFmt w:val="decimal"/>
      <w:lvlText w:val="%7)"/>
      <w:lvlJc w:val="left"/>
      <w:pPr>
        <w:tabs>
          <w:tab w:val="num" w:pos="2880"/>
        </w:tabs>
        <w:ind w:left="2880" w:hanging="360"/>
      </w:pPr>
      <w:rPr>
        <w:rFonts w:cs="Garamond"/>
        <w:b/>
        <w:bCs/>
      </w:rPr>
    </w:lvl>
    <w:lvl w:ilvl="7">
      <w:start w:val="1"/>
      <w:numFmt w:val="decimal"/>
      <w:lvlText w:val="%8)"/>
      <w:lvlJc w:val="left"/>
      <w:pPr>
        <w:tabs>
          <w:tab w:val="num" w:pos="3240"/>
        </w:tabs>
        <w:ind w:left="3240" w:hanging="360"/>
      </w:pPr>
      <w:rPr>
        <w:rFonts w:cs="Garamond"/>
        <w:b/>
        <w:bCs/>
      </w:rPr>
    </w:lvl>
    <w:lvl w:ilvl="8">
      <w:start w:val="1"/>
      <w:numFmt w:val="decimal"/>
      <w:lvlText w:val="%9)"/>
      <w:lvlJc w:val="left"/>
      <w:pPr>
        <w:tabs>
          <w:tab w:val="num" w:pos="3600"/>
        </w:tabs>
        <w:ind w:left="3600" w:hanging="360"/>
      </w:pPr>
      <w:rPr>
        <w:rFonts w:cs="Garamond"/>
        <w:b/>
        <w:bCs/>
      </w:rPr>
    </w:lvl>
  </w:abstractNum>
  <w:abstractNum w:abstractNumId="2" w15:restartNumberingAfterBreak="0">
    <w:nsid w:val="081C5560"/>
    <w:multiLevelType w:val="multilevel"/>
    <w:tmpl w:val="FDE4C6F4"/>
    <w:lvl w:ilvl="0">
      <w:start w:val="1"/>
      <w:numFmt w:val="decimal"/>
      <w:lvlText w:val="%1)"/>
      <w:lvlJc w:val="left"/>
      <w:pPr>
        <w:tabs>
          <w:tab w:val="num" w:pos="720"/>
        </w:tabs>
        <w:ind w:left="720" w:hanging="360"/>
      </w:pPr>
      <w:rPr>
        <w:rFonts w:ascii="Calibri" w:hAnsi="Calibri" w:cs="Garamond"/>
        <w:b/>
        <w:bCs/>
        <w:sz w:val="24"/>
      </w:rPr>
    </w:lvl>
    <w:lvl w:ilvl="1">
      <w:start w:val="1"/>
      <w:numFmt w:val="decimal"/>
      <w:lvlText w:val="%2)"/>
      <w:lvlJc w:val="left"/>
      <w:pPr>
        <w:tabs>
          <w:tab w:val="num" w:pos="1080"/>
        </w:tabs>
        <w:ind w:left="1080" w:hanging="360"/>
      </w:pPr>
      <w:rPr>
        <w:rFonts w:cs="Garamond"/>
        <w:b/>
        <w:bCs/>
      </w:rPr>
    </w:lvl>
    <w:lvl w:ilvl="2">
      <w:start w:val="1"/>
      <w:numFmt w:val="decimal"/>
      <w:lvlText w:val="%3)"/>
      <w:lvlJc w:val="left"/>
      <w:pPr>
        <w:tabs>
          <w:tab w:val="num" w:pos="1440"/>
        </w:tabs>
        <w:ind w:left="1440" w:hanging="360"/>
      </w:pPr>
      <w:rPr>
        <w:rFonts w:cs="Garamond"/>
        <w:b/>
        <w:bCs/>
      </w:rPr>
    </w:lvl>
    <w:lvl w:ilvl="3">
      <w:start w:val="1"/>
      <w:numFmt w:val="decimal"/>
      <w:lvlText w:val="%4)"/>
      <w:lvlJc w:val="left"/>
      <w:pPr>
        <w:tabs>
          <w:tab w:val="num" w:pos="1800"/>
        </w:tabs>
        <w:ind w:left="1800" w:hanging="360"/>
      </w:pPr>
      <w:rPr>
        <w:rFonts w:cs="Garamond"/>
        <w:b/>
        <w:bCs/>
      </w:rPr>
    </w:lvl>
    <w:lvl w:ilvl="4">
      <w:start w:val="1"/>
      <w:numFmt w:val="decimal"/>
      <w:lvlText w:val="%5)"/>
      <w:lvlJc w:val="left"/>
      <w:pPr>
        <w:tabs>
          <w:tab w:val="num" w:pos="2160"/>
        </w:tabs>
        <w:ind w:left="2160" w:hanging="360"/>
      </w:pPr>
      <w:rPr>
        <w:rFonts w:cs="Garamond"/>
        <w:b/>
        <w:bCs/>
      </w:rPr>
    </w:lvl>
    <w:lvl w:ilvl="5">
      <w:start w:val="1"/>
      <w:numFmt w:val="decimal"/>
      <w:lvlText w:val="%6)"/>
      <w:lvlJc w:val="left"/>
      <w:pPr>
        <w:tabs>
          <w:tab w:val="num" w:pos="2520"/>
        </w:tabs>
        <w:ind w:left="2520" w:hanging="360"/>
      </w:pPr>
      <w:rPr>
        <w:rFonts w:cs="Garamond"/>
        <w:b/>
        <w:bCs/>
      </w:rPr>
    </w:lvl>
    <w:lvl w:ilvl="6">
      <w:start w:val="1"/>
      <w:numFmt w:val="decimal"/>
      <w:lvlText w:val="%7)"/>
      <w:lvlJc w:val="left"/>
      <w:pPr>
        <w:tabs>
          <w:tab w:val="num" w:pos="2880"/>
        </w:tabs>
        <w:ind w:left="2880" w:hanging="360"/>
      </w:pPr>
      <w:rPr>
        <w:rFonts w:cs="Garamond"/>
        <w:b/>
        <w:bCs/>
      </w:rPr>
    </w:lvl>
    <w:lvl w:ilvl="7">
      <w:start w:val="1"/>
      <w:numFmt w:val="decimal"/>
      <w:lvlText w:val="%8)"/>
      <w:lvlJc w:val="left"/>
      <w:pPr>
        <w:tabs>
          <w:tab w:val="num" w:pos="3240"/>
        </w:tabs>
        <w:ind w:left="3240" w:hanging="360"/>
      </w:pPr>
      <w:rPr>
        <w:rFonts w:cs="Garamond"/>
        <w:b/>
        <w:bCs/>
      </w:rPr>
    </w:lvl>
    <w:lvl w:ilvl="8">
      <w:start w:val="1"/>
      <w:numFmt w:val="decimal"/>
      <w:lvlText w:val="%9)"/>
      <w:lvlJc w:val="left"/>
      <w:pPr>
        <w:tabs>
          <w:tab w:val="num" w:pos="3600"/>
        </w:tabs>
        <w:ind w:left="3600" w:hanging="360"/>
      </w:pPr>
      <w:rPr>
        <w:rFonts w:cs="Garamond"/>
        <w:b/>
        <w:bCs/>
      </w:rPr>
    </w:lvl>
  </w:abstractNum>
  <w:abstractNum w:abstractNumId="3" w15:restartNumberingAfterBreak="0">
    <w:nsid w:val="0BF43ABF"/>
    <w:multiLevelType w:val="multilevel"/>
    <w:tmpl w:val="E9FC041A"/>
    <w:lvl w:ilvl="0">
      <w:start w:val="1"/>
      <w:numFmt w:val="decimal"/>
      <w:lvlText w:val="%1)"/>
      <w:lvlJc w:val="left"/>
      <w:pPr>
        <w:tabs>
          <w:tab w:val="num" w:pos="720"/>
        </w:tabs>
        <w:ind w:left="720" w:hanging="360"/>
      </w:pPr>
      <w:rPr>
        <w:rFonts w:ascii="Calibri" w:hAnsi="Calibri" w:cs="Garamond"/>
        <w:b/>
        <w:bCs/>
        <w:sz w:val="24"/>
      </w:rPr>
    </w:lvl>
    <w:lvl w:ilvl="1">
      <w:start w:val="1"/>
      <w:numFmt w:val="lowerLetter"/>
      <w:lvlText w:val="%2)"/>
      <w:lvlJc w:val="left"/>
      <w:pPr>
        <w:tabs>
          <w:tab w:val="num" w:pos="1080"/>
        </w:tabs>
        <w:ind w:left="1080" w:hanging="360"/>
      </w:pPr>
      <w:rPr>
        <w:rFonts w:ascii="Calibri" w:hAnsi="Calibri" w:cs="Garamond"/>
        <w:b/>
        <w:bCs/>
        <w:sz w:val="24"/>
      </w:rPr>
    </w:lvl>
    <w:lvl w:ilvl="2">
      <w:start w:val="1"/>
      <w:numFmt w:val="decimal"/>
      <w:lvlText w:val="%3)"/>
      <w:lvlJc w:val="left"/>
      <w:pPr>
        <w:tabs>
          <w:tab w:val="num" w:pos="1440"/>
        </w:tabs>
        <w:ind w:left="1440" w:hanging="360"/>
      </w:pPr>
      <w:rPr>
        <w:rFonts w:cs="Garamond"/>
        <w:b/>
        <w:bCs/>
      </w:rPr>
    </w:lvl>
    <w:lvl w:ilvl="3">
      <w:start w:val="1"/>
      <w:numFmt w:val="decimal"/>
      <w:lvlText w:val="%4)"/>
      <w:lvlJc w:val="left"/>
      <w:pPr>
        <w:tabs>
          <w:tab w:val="num" w:pos="1800"/>
        </w:tabs>
        <w:ind w:left="1800" w:hanging="360"/>
      </w:pPr>
      <w:rPr>
        <w:rFonts w:cs="Garamond"/>
        <w:b/>
        <w:bCs/>
      </w:rPr>
    </w:lvl>
    <w:lvl w:ilvl="4">
      <w:start w:val="1"/>
      <w:numFmt w:val="decimal"/>
      <w:lvlText w:val="%5)"/>
      <w:lvlJc w:val="left"/>
      <w:pPr>
        <w:tabs>
          <w:tab w:val="num" w:pos="2160"/>
        </w:tabs>
        <w:ind w:left="2160" w:hanging="360"/>
      </w:pPr>
      <w:rPr>
        <w:rFonts w:cs="Garamond"/>
        <w:b/>
        <w:bCs/>
      </w:rPr>
    </w:lvl>
    <w:lvl w:ilvl="5">
      <w:start w:val="1"/>
      <w:numFmt w:val="decimal"/>
      <w:lvlText w:val="%6)"/>
      <w:lvlJc w:val="left"/>
      <w:pPr>
        <w:tabs>
          <w:tab w:val="num" w:pos="2520"/>
        </w:tabs>
        <w:ind w:left="2520" w:hanging="360"/>
      </w:pPr>
      <w:rPr>
        <w:rFonts w:cs="Garamond"/>
        <w:b/>
        <w:bCs/>
      </w:rPr>
    </w:lvl>
    <w:lvl w:ilvl="6">
      <w:start w:val="1"/>
      <w:numFmt w:val="decimal"/>
      <w:lvlText w:val="%7)"/>
      <w:lvlJc w:val="left"/>
      <w:pPr>
        <w:tabs>
          <w:tab w:val="num" w:pos="2880"/>
        </w:tabs>
        <w:ind w:left="2880" w:hanging="360"/>
      </w:pPr>
      <w:rPr>
        <w:rFonts w:cs="Garamond"/>
        <w:b/>
        <w:bCs/>
      </w:rPr>
    </w:lvl>
    <w:lvl w:ilvl="7">
      <w:start w:val="1"/>
      <w:numFmt w:val="decimal"/>
      <w:lvlText w:val="%8)"/>
      <w:lvlJc w:val="left"/>
      <w:pPr>
        <w:tabs>
          <w:tab w:val="num" w:pos="3240"/>
        </w:tabs>
        <w:ind w:left="3240" w:hanging="360"/>
      </w:pPr>
      <w:rPr>
        <w:rFonts w:cs="Garamond"/>
        <w:b/>
        <w:bCs/>
      </w:rPr>
    </w:lvl>
    <w:lvl w:ilvl="8">
      <w:start w:val="1"/>
      <w:numFmt w:val="decimal"/>
      <w:lvlText w:val="%9)"/>
      <w:lvlJc w:val="left"/>
      <w:pPr>
        <w:tabs>
          <w:tab w:val="num" w:pos="3600"/>
        </w:tabs>
        <w:ind w:left="3600" w:hanging="360"/>
      </w:pPr>
      <w:rPr>
        <w:rFonts w:cs="Garamond"/>
        <w:b/>
        <w:bCs/>
      </w:rPr>
    </w:lvl>
  </w:abstractNum>
  <w:abstractNum w:abstractNumId="4" w15:restartNumberingAfterBreak="0">
    <w:nsid w:val="1C9536F1"/>
    <w:multiLevelType w:val="multilevel"/>
    <w:tmpl w:val="0672895C"/>
    <w:lvl w:ilvl="0">
      <w:start w:val="1"/>
      <w:numFmt w:val="decimal"/>
      <w:lvlText w:val="%1)"/>
      <w:lvlJc w:val="left"/>
      <w:pPr>
        <w:tabs>
          <w:tab w:val="num" w:pos="720"/>
        </w:tabs>
        <w:ind w:left="720" w:hanging="360"/>
      </w:pPr>
      <w:rPr>
        <w:rFonts w:ascii="Calibri" w:hAnsi="Calibri" w:cs="Garamond"/>
        <w:b/>
        <w:bCs/>
        <w:sz w:val="24"/>
      </w:rPr>
    </w:lvl>
    <w:lvl w:ilvl="1">
      <w:start w:val="1"/>
      <w:numFmt w:val="decimal"/>
      <w:lvlText w:val="%2)"/>
      <w:lvlJc w:val="left"/>
      <w:pPr>
        <w:tabs>
          <w:tab w:val="num" w:pos="1080"/>
        </w:tabs>
        <w:ind w:left="1080" w:hanging="360"/>
      </w:pPr>
      <w:rPr>
        <w:rFonts w:cs="Garamond"/>
        <w:b/>
        <w:bCs/>
      </w:rPr>
    </w:lvl>
    <w:lvl w:ilvl="2">
      <w:start w:val="1"/>
      <w:numFmt w:val="decimal"/>
      <w:lvlText w:val="%3)"/>
      <w:lvlJc w:val="left"/>
      <w:pPr>
        <w:tabs>
          <w:tab w:val="num" w:pos="1440"/>
        </w:tabs>
        <w:ind w:left="1440" w:hanging="360"/>
      </w:pPr>
      <w:rPr>
        <w:rFonts w:cs="Garamond"/>
        <w:b/>
        <w:bCs/>
      </w:rPr>
    </w:lvl>
    <w:lvl w:ilvl="3">
      <w:start w:val="1"/>
      <w:numFmt w:val="decimal"/>
      <w:lvlText w:val="%4)"/>
      <w:lvlJc w:val="left"/>
      <w:pPr>
        <w:tabs>
          <w:tab w:val="num" w:pos="1800"/>
        </w:tabs>
        <w:ind w:left="1800" w:hanging="360"/>
      </w:pPr>
      <w:rPr>
        <w:rFonts w:cs="Garamond"/>
        <w:b/>
        <w:bCs/>
      </w:rPr>
    </w:lvl>
    <w:lvl w:ilvl="4">
      <w:start w:val="1"/>
      <w:numFmt w:val="decimal"/>
      <w:lvlText w:val="%5)"/>
      <w:lvlJc w:val="left"/>
      <w:pPr>
        <w:tabs>
          <w:tab w:val="num" w:pos="2160"/>
        </w:tabs>
        <w:ind w:left="2160" w:hanging="360"/>
      </w:pPr>
      <w:rPr>
        <w:rFonts w:cs="Garamond"/>
        <w:b/>
        <w:bCs/>
      </w:rPr>
    </w:lvl>
    <w:lvl w:ilvl="5">
      <w:start w:val="1"/>
      <w:numFmt w:val="decimal"/>
      <w:lvlText w:val="%6)"/>
      <w:lvlJc w:val="left"/>
      <w:pPr>
        <w:tabs>
          <w:tab w:val="num" w:pos="2520"/>
        </w:tabs>
        <w:ind w:left="2520" w:hanging="360"/>
      </w:pPr>
      <w:rPr>
        <w:rFonts w:cs="Garamond"/>
        <w:b/>
        <w:bCs/>
      </w:rPr>
    </w:lvl>
    <w:lvl w:ilvl="6">
      <w:start w:val="1"/>
      <w:numFmt w:val="decimal"/>
      <w:lvlText w:val="%7)"/>
      <w:lvlJc w:val="left"/>
      <w:pPr>
        <w:tabs>
          <w:tab w:val="num" w:pos="2880"/>
        </w:tabs>
        <w:ind w:left="2880" w:hanging="360"/>
      </w:pPr>
      <w:rPr>
        <w:rFonts w:cs="Garamond"/>
        <w:b/>
        <w:bCs/>
      </w:rPr>
    </w:lvl>
    <w:lvl w:ilvl="7">
      <w:start w:val="1"/>
      <w:numFmt w:val="decimal"/>
      <w:lvlText w:val="%8)"/>
      <w:lvlJc w:val="left"/>
      <w:pPr>
        <w:tabs>
          <w:tab w:val="num" w:pos="3240"/>
        </w:tabs>
        <w:ind w:left="3240" w:hanging="360"/>
      </w:pPr>
      <w:rPr>
        <w:rFonts w:cs="Garamond"/>
        <w:b/>
        <w:bCs/>
      </w:rPr>
    </w:lvl>
    <w:lvl w:ilvl="8">
      <w:start w:val="1"/>
      <w:numFmt w:val="decimal"/>
      <w:lvlText w:val="%9)"/>
      <w:lvlJc w:val="left"/>
      <w:pPr>
        <w:tabs>
          <w:tab w:val="num" w:pos="3600"/>
        </w:tabs>
        <w:ind w:left="3600" w:hanging="360"/>
      </w:pPr>
      <w:rPr>
        <w:rFonts w:cs="Garamond"/>
        <w:b/>
        <w:bCs/>
      </w:rPr>
    </w:lvl>
  </w:abstractNum>
  <w:abstractNum w:abstractNumId="5" w15:restartNumberingAfterBreak="0">
    <w:nsid w:val="1DC8486E"/>
    <w:multiLevelType w:val="multilevel"/>
    <w:tmpl w:val="B4780E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DFC16B2"/>
    <w:multiLevelType w:val="multilevel"/>
    <w:tmpl w:val="B0926356"/>
    <w:lvl w:ilvl="0">
      <w:start w:val="1"/>
      <w:numFmt w:val="decimal"/>
      <w:lvlText w:val="%1)"/>
      <w:lvlJc w:val="left"/>
      <w:pPr>
        <w:tabs>
          <w:tab w:val="num" w:pos="720"/>
        </w:tabs>
        <w:ind w:left="720" w:hanging="360"/>
      </w:pPr>
      <w:rPr>
        <w:rFonts w:ascii="Calibri" w:hAnsi="Calibri" w:cs="Garamond"/>
        <w:b/>
        <w:bCs/>
        <w:sz w:val="24"/>
      </w:rPr>
    </w:lvl>
    <w:lvl w:ilvl="1">
      <w:start w:val="1"/>
      <w:numFmt w:val="lowerLetter"/>
      <w:lvlText w:val="%2)"/>
      <w:lvlJc w:val="left"/>
      <w:pPr>
        <w:tabs>
          <w:tab w:val="num" w:pos="1080"/>
        </w:tabs>
        <w:ind w:left="1080" w:hanging="360"/>
      </w:pPr>
      <w:rPr>
        <w:rFonts w:ascii="Calibri" w:hAnsi="Calibri" w:cs="Garamond"/>
        <w:b/>
        <w:bCs/>
        <w:sz w:val="24"/>
      </w:rPr>
    </w:lvl>
    <w:lvl w:ilvl="2">
      <w:start w:val="1"/>
      <w:numFmt w:val="decimal"/>
      <w:lvlText w:val="%3)"/>
      <w:lvlJc w:val="left"/>
      <w:pPr>
        <w:tabs>
          <w:tab w:val="num" w:pos="1440"/>
        </w:tabs>
        <w:ind w:left="1440" w:hanging="360"/>
      </w:pPr>
      <w:rPr>
        <w:rFonts w:cs="Garamond"/>
        <w:b/>
        <w:bCs/>
      </w:rPr>
    </w:lvl>
    <w:lvl w:ilvl="3">
      <w:start w:val="1"/>
      <w:numFmt w:val="decimal"/>
      <w:lvlText w:val="%4)"/>
      <w:lvlJc w:val="left"/>
      <w:pPr>
        <w:tabs>
          <w:tab w:val="num" w:pos="1800"/>
        </w:tabs>
        <w:ind w:left="1800" w:hanging="360"/>
      </w:pPr>
      <w:rPr>
        <w:rFonts w:cs="Garamond"/>
        <w:b/>
        <w:bCs/>
      </w:rPr>
    </w:lvl>
    <w:lvl w:ilvl="4">
      <w:start w:val="1"/>
      <w:numFmt w:val="decimal"/>
      <w:lvlText w:val="%5)"/>
      <w:lvlJc w:val="left"/>
      <w:pPr>
        <w:tabs>
          <w:tab w:val="num" w:pos="2160"/>
        </w:tabs>
        <w:ind w:left="2160" w:hanging="360"/>
      </w:pPr>
      <w:rPr>
        <w:rFonts w:cs="Garamond"/>
        <w:b/>
        <w:bCs/>
      </w:rPr>
    </w:lvl>
    <w:lvl w:ilvl="5">
      <w:start w:val="1"/>
      <w:numFmt w:val="decimal"/>
      <w:lvlText w:val="%6)"/>
      <w:lvlJc w:val="left"/>
      <w:pPr>
        <w:tabs>
          <w:tab w:val="num" w:pos="2520"/>
        </w:tabs>
        <w:ind w:left="2520" w:hanging="360"/>
      </w:pPr>
      <w:rPr>
        <w:rFonts w:cs="Garamond"/>
        <w:b/>
        <w:bCs/>
      </w:rPr>
    </w:lvl>
    <w:lvl w:ilvl="6">
      <w:start w:val="1"/>
      <w:numFmt w:val="decimal"/>
      <w:lvlText w:val="%7)"/>
      <w:lvlJc w:val="left"/>
      <w:pPr>
        <w:tabs>
          <w:tab w:val="num" w:pos="2880"/>
        </w:tabs>
        <w:ind w:left="2880" w:hanging="360"/>
      </w:pPr>
      <w:rPr>
        <w:rFonts w:cs="Garamond"/>
        <w:b/>
        <w:bCs/>
      </w:rPr>
    </w:lvl>
    <w:lvl w:ilvl="7">
      <w:start w:val="1"/>
      <w:numFmt w:val="decimal"/>
      <w:lvlText w:val="%8)"/>
      <w:lvlJc w:val="left"/>
      <w:pPr>
        <w:tabs>
          <w:tab w:val="num" w:pos="3240"/>
        </w:tabs>
        <w:ind w:left="3240" w:hanging="360"/>
      </w:pPr>
      <w:rPr>
        <w:rFonts w:cs="Garamond"/>
        <w:b/>
        <w:bCs/>
      </w:rPr>
    </w:lvl>
    <w:lvl w:ilvl="8">
      <w:start w:val="1"/>
      <w:numFmt w:val="decimal"/>
      <w:lvlText w:val="%9)"/>
      <w:lvlJc w:val="left"/>
      <w:pPr>
        <w:tabs>
          <w:tab w:val="num" w:pos="3600"/>
        </w:tabs>
        <w:ind w:left="3600" w:hanging="360"/>
      </w:pPr>
      <w:rPr>
        <w:rFonts w:cs="Garamond"/>
        <w:b/>
        <w:bCs/>
      </w:rPr>
    </w:lvl>
  </w:abstractNum>
  <w:abstractNum w:abstractNumId="7" w15:restartNumberingAfterBreak="0">
    <w:nsid w:val="43473E55"/>
    <w:multiLevelType w:val="multilevel"/>
    <w:tmpl w:val="FE9E79A2"/>
    <w:lvl w:ilvl="0">
      <w:start w:val="1"/>
      <w:numFmt w:val="lowerLetter"/>
      <w:lvlText w:val="%1)"/>
      <w:lvlJc w:val="left"/>
      <w:pPr>
        <w:tabs>
          <w:tab w:val="num" w:pos="720"/>
        </w:tabs>
        <w:ind w:left="720" w:hanging="360"/>
      </w:pPr>
      <w:rPr>
        <w:rFonts w:ascii="Calibri" w:hAnsi="Calibri" w:cs="Garamond"/>
        <w:b/>
        <w:bCs/>
        <w:sz w:val="24"/>
      </w:rPr>
    </w:lvl>
    <w:lvl w:ilvl="1">
      <w:start w:val="1"/>
      <w:numFmt w:val="lowerLetter"/>
      <w:lvlText w:val="%2)"/>
      <w:lvlJc w:val="left"/>
      <w:pPr>
        <w:tabs>
          <w:tab w:val="num" w:pos="1080"/>
        </w:tabs>
        <w:ind w:left="1080" w:hanging="360"/>
      </w:pPr>
      <w:rPr>
        <w:rFonts w:cs="Garamond"/>
        <w:b/>
        <w:bCs/>
      </w:rPr>
    </w:lvl>
    <w:lvl w:ilvl="2">
      <w:start w:val="1"/>
      <w:numFmt w:val="lowerLetter"/>
      <w:lvlText w:val="%3)"/>
      <w:lvlJc w:val="left"/>
      <w:pPr>
        <w:tabs>
          <w:tab w:val="num" w:pos="1440"/>
        </w:tabs>
        <w:ind w:left="1440" w:hanging="360"/>
      </w:pPr>
      <w:rPr>
        <w:rFonts w:cs="Garamond"/>
        <w:b/>
        <w:bCs/>
      </w:rPr>
    </w:lvl>
    <w:lvl w:ilvl="3">
      <w:start w:val="1"/>
      <w:numFmt w:val="lowerLetter"/>
      <w:lvlText w:val="%4)"/>
      <w:lvlJc w:val="left"/>
      <w:pPr>
        <w:tabs>
          <w:tab w:val="num" w:pos="1800"/>
        </w:tabs>
        <w:ind w:left="1800" w:hanging="360"/>
      </w:pPr>
      <w:rPr>
        <w:rFonts w:cs="Garamond"/>
        <w:b/>
        <w:bCs/>
      </w:rPr>
    </w:lvl>
    <w:lvl w:ilvl="4">
      <w:start w:val="1"/>
      <w:numFmt w:val="lowerLetter"/>
      <w:lvlText w:val="%5)"/>
      <w:lvlJc w:val="left"/>
      <w:pPr>
        <w:tabs>
          <w:tab w:val="num" w:pos="2160"/>
        </w:tabs>
        <w:ind w:left="2160" w:hanging="360"/>
      </w:pPr>
      <w:rPr>
        <w:rFonts w:cs="Garamond"/>
        <w:b/>
        <w:bCs/>
      </w:rPr>
    </w:lvl>
    <w:lvl w:ilvl="5">
      <w:start w:val="1"/>
      <w:numFmt w:val="lowerLetter"/>
      <w:lvlText w:val="%6)"/>
      <w:lvlJc w:val="left"/>
      <w:pPr>
        <w:tabs>
          <w:tab w:val="num" w:pos="2520"/>
        </w:tabs>
        <w:ind w:left="2520" w:hanging="360"/>
      </w:pPr>
      <w:rPr>
        <w:rFonts w:cs="Garamond"/>
        <w:b/>
        <w:bCs/>
      </w:rPr>
    </w:lvl>
    <w:lvl w:ilvl="6">
      <w:start w:val="1"/>
      <w:numFmt w:val="lowerLetter"/>
      <w:lvlText w:val="%7)"/>
      <w:lvlJc w:val="left"/>
      <w:pPr>
        <w:tabs>
          <w:tab w:val="num" w:pos="2880"/>
        </w:tabs>
        <w:ind w:left="2880" w:hanging="360"/>
      </w:pPr>
      <w:rPr>
        <w:rFonts w:cs="Garamond"/>
        <w:b/>
        <w:bCs/>
      </w:rPr>
    </w:lvl>
    <w:lvl w:ilvl="7">
      <w:start w:val="1"/>
      <w:numFmt w:val="lowerLetter"/>
      <w:lvlText w:val="%8)"/>
      <w:lvlJc w:val="left"/>
      <w:pPr>
        <w:tabs>
          <w:tab w:val="num" w:pos="3240"/>
        </w:tabs>
        <w:ind w:left="3240" w:hanging="360"/>
      </w:pPr>
      <w:rPr>
        <w:rFonts w:cs="Garamond"/>
        <w:b/>
        <w:bCs/>
      </w:rPr>
    </w:lvl>
    <w:lvl w:ilvl="8">
      <w:start w:val="1"/>
      <w:numFmt w:val="lowerLetter"/>
      <w:lvlText w:val="%9)"/>
      <w:lvlJc w:val="left"/>
      <w:pPr>
        <w:tabs>
          <w:tab w:val="num" w:pos="3600"/>
        </w:tabs>
        <w:ind w:left="3600" w:hanging="360"/>
      </w:pPr>
      <w:rPr>
        <w:rFonts w:cs="Garamond"/>
        <w:b/>
        <w:bCs/>
      </w:rPr>
    </w:lvl>
  </w:abstractNum>
  <w:abstractNum w:abstractNumId="8" w15:restartNumberingAfterBreak="0">
    <w:nsid w:val="51CD5EDD"/>
    <w:multiLevelType w:val="multilevel"/>
    <w:tmpl w:val="208E2F5A"/>
    <w:lvl w:ilvl="0">
      <w:start w:val="1"/>
      <w:numFmt w:val="decimal"/>
      <w:lvlText w:val="%1."/>
      <w:lvlJc w:val="left"/>
      <w:pPr>
        <w:tabs>
          <w:tab w:val="num" w:pos="974"/>
        </w:tabs>
        <w:ind w:left="974" w:hanging="360"/>
      </w:pPr>
      <w:rPr>
        <w:rFonts w:cs="Garamond"/>
        <w:b/>
        <w:bCs/>
        <w:sz w:val="24"/>
      </w:rPr>
    </w:lvl>
    <w:lvl w:ilvl="1">
      <w:start w:val="1"/>
      <w:numFmt w:val="decimal"/>
      <w:lvlText w:val="%2."/>
      <w:lvlJc w:val="left"/>
      <w:pPr>
        <w:tabs>
          <w:tab w:val="num" w:pos="1334"/>
        </w:tabs>
        <w:ind w:left="1334" w:hanging="360"/>
      </w:pPr>
      <w:rPr>
        <w:rFonts w:cs="Garamond"/>
        <w:b/>
        <w:bCs/>
      </w:rPr>
    </w:lvl>
    <w:lvl w:ilvl="2">
      <w:start w:val="1"/>
      <w:numFmt w:val="decimal"/>
      <w:lvlText w:val="%3."/>
      <w:lvlJc w:val="left"/>
      <w:pPr>
        <w:tabs>
          <w:tab w:val="num" w:pos="1694"/>
        </w:tabs>
        <w:ind w:left="1694" w:hanging="360"/>
      </w:pPr>
      <w:rPr>
        <w:rFonts w:cs="Garamond"/>
        <w:b/>
        <w:bCs/>
      </w:rPr>
    </w:lvl>
    <w:lvl w:ilvl="3">
      <w:start w:val="1"/>
      <w:numFmt w:val="decimal"/>
      <w:lvlText w:val="%4."/>
      <w:lvlJc w:val="left"/>
      <w:pPr>
        <w:tabs>
          <w:tab w:val="num" w:pos="2054"/>
        </w:tabs>
        <w:ind w:left="2054" w:hanging="360"/>
      </w:pPr>
      <w:rPr>
        <w:rFonts w:cs="Garamond"/>
        <w:b/>
        <w:bCs/>
      </w:rPr>
    </w:lvl>
    <w:lvl w:ilvl="4">
      <w:start w:val="1"/>
      <w:numFmt w:val="decimal"/>
      <w:lvlText w:val="%5."/>
      <w:lvlJc w:val="left"/>
      <w:pPr>
        <w:tabs>
          <w:tab w:val="num" w:pos="2414"/>
        </w:tabs>
        <w:ind w:left="2414" w:hanging="360"/>
      </w:pPr>
      <w:rPr>
        <w:rFonts w:cs="Garamond"/>
        <w:b/>
        <w:bCs/>
      </w:rPr>
    </w:lvl>
    <w:lvl w:ilvl="5">
      <w:start w:val="1"/>
      <w:numFmt w:val="decimal"/>
      <w:lvlText w:val="%6."/>
      <w:lvlJc w:val="left"/>
      <w:pPr>
        <w:tabs>
          <w:tab w:val="num" w:pos="2774"/>
        </w:tabs>
        <w:ind w:left="2774" w:hanging="360"/>
      </w:pPr>
      <w:rPr>
        <w:rFonts w:cs="Garamond"/>
        <w:b/>
        <w:bCs/>
      </w:rPr>
    </w:lvl>
    <w:lvl w:ilvl="6">
      <w:start w:val="1"/>
      <w:numFmt w:val="decimal"/>
      <w:lvlText w:val="%7."/>
      <w:lvlJc w:val="left"/>
      <w:pPr>
        <w:tabs>
          <w:tab w:val="num" w:pos="3134"/>
        </w:tabs>
        <w:ind w:left="3134" w:hanging="360"/>
      </w:pPr>
      <w:rPr>
        <w:rFonts w:cs="Garamond"/>
        <w:b/>
        <w:bCs/>
      </w:rPr>
    </w:lvl>
    <w:lvl w:ilvl="7">
      <w:start w:val="1"/>
      <w:numFmt w:val="decimal"/>
      <w:lvlText w:val="%8."/>
      <w:lvlJc w:val="left"/>
      <w:pPr>
        <w:tabs>
          <w:tab w:val="num" w:pos="3494"/>
        </w:tabs>
        <w:ind w:left="3494" w:hanging="360"/>
      </w:pPr>
      <w:rPr>
        <w:rFonts w:cs="Garamond"/>
        <w:b/>
        <w:bCs/>
      </w:rPr>
    </w:lvl>
    <w:lvl w:ilvl="8">
      <w:start w:val="1"/>
      <w:numFmt w:val="decimal"/>
      <w:lvlText w:val="%9."/>
      <w:lvlJc w:val="left"/>
      <w:pPr>
        <w:tabs>
          <w:tab w:val="num" w:pos="3854"/>
        </w:tabs>
        <w:ind w:left="3854" w:hanging="360"/>
      </w:pPr>
      <w:rPr>
        <w:rFonts w:cs="Garamond"/>
        <w:b/>
        <w:bCs/>
      </w:rPr>
    </w:lvl>
  </w:abstractNum>
  <w:abstractNum w:abstractNumId="9" w15:restartNumberingAfterBreak="0">
    <w:nsid w:val="5CC366F9"/>
    <w:multiLevelType w:val="multilevel"/>
    <w:tmpl w:val="45FE9ABA"/>
    <w:lvl w:ilvl="0">
      <w:start w:val="1"/>
      <w:numFmt w:val="lowerLetter"/>
      <w:lvlText w:val="%1)"/>
      <w:lvlJc w:val="left"/>
      <w:pPr>
        <w:tabs>
          <w:tab w:val="num" w:pos="720"/>
        </w:tabs>
        <w:ind w:left="720" w:hanging="360"/>
      </w:pPr>
      <w:rPr>
        <w:rFonts w:ascii="Calibri" w:hAnsi="Calibri" w:cs="Garamond"/>
        <w:b/>
        <w:bCs/>
        <w:sz w:val="24"/>
      </w:rPr>
    </w:lvl>
    <w:lvl w:ilvl="1">
      <w:start w:val="1"/>
      <w:numFmt w:val="lowerLetter"/>
      <w:lvlText w:val="%2)"/>
      <w:lvlJc w:val="left"/>
      <w:pPr>
        <w:tabs>
          <w:tab w:val="num" w:pos="1080"/>
        </w:tabs>
        <w:ind w:left="1080" w:hanging="360"/>
      </w:pPr>
      <w:rPr>
        <w:rFonts w:cs="Garamond"/>
        <w:b/>
        <w:bCs/>
      </w:rPr>
    </w:lvl>
    <w:lvl w:ilvl="2">
      <w:start w:val="1"/>
      <w:numFmt w:val="lowerLetter"/>
      <w:lvlText w:val="%3)"/>
      <w:lvlJc w:val="left"/>
      <w:pPr>
        <w:tabs>
          <w:tab w:val="num" w:pos="1440"/>
        </w:tabs>
        <w:ind w:left="1440" w:hanging="360"/>
      </w:pPr>
      <w:rPr>
        <w:rFonts w:cs="Garamond"/>
        <w:b/>
        <w:bCs/>
      </w:rPr>
    </w:lvl>
    <w:lvl w:ilvl="3">
      <w:start w:val="1"/>
      <w:numFmt w:val="lowerLetter"/>
      <w:lvlText w:val="%4)"/>
      <w:lvlJc w:val="left"/>
      <w:pPr>
        <w:tabs>
          <w:tab w:val="num" w:pos="1800"/>
        </w:tabs>
        <w:ind w:left="1800" w:hanging="360"/>
      </w:pPr>
      <w:rPr>
        <w:rFonts w:cs="Garamond"/>
        <w:b/>
        <w:bCs/>
      </w:rPr>
    </w:lvl>
    <w:lvl w:ilvl="4">
      <w:start w:val="1"/>
      <w:numFmt w:val="lowerLetter"/>
      <w:lvlText w:val="%5)"/>
      <w:lvlJc w:val="left"/>
      <w:pPr>
        <w:tabs>
          <w:tab w:val="num" w:pos="2160"/>
        </w:tabs>
        <w:ind w:left="2160" w:hanging="360"/>
      </w:pPr>
      <w:rPr>
        <w:rFonts w:cs="Garamond"/>
        <w:b/>
        <w:bCs/>
      </w:rPr>
    </w:lvl>
    <w:lvl w:ilvl="5">
      <w:start w:val="1"/>
      <w:numFmt w:val="lowerLetter"/>
      <w:lvlText w:val="%6)"/>
      <w:lvlJc w:val="left"/>
      <w:pPr>
        <w:tabs>
          <w:tab w:val="num" w:pos="2520"/>
        </w:tabs>
        <w:ind w:left="2520" w:hanging="360"/>
      </w:pPr>
      <w:rPr>
        <w:rFonts w:cs="Garamond"/>
        <w:b/>
        <w:bCs/>
      </w:rPr>
    </w:lvl>
    <w:lvl w:ilvl="6">
      <w:start w:val="1"/>
      <w:numFmt w:val="lowerLetter"/>
      <w:lvlText w:val="%7)"/>
      <w:lvlJc w:val="left"/>
      <w:pPr>
        <w:tabs>
          <w:tab w:val="num" w:pos="2880"/>
        </w:tabs>
        <w:ind w:left="2880" w:hanging="360"/>
      </w:pPr>
      <w:rPr>
        <w:rFonts w:cs="Garamond"/>
        <w:b/>
        <w:bCs/>
      </w:rPr>
    </w:lvl>
    <w:lvl w:ilvl="7">
      <w:start w:val="1"/>
      <w:numFmt w:val="lowerLetter"/>
      <w:lvlText w:val="%8)"/>
      <w:lvlJc w:val="left"/>
      <w:pPr>
        <w:tabs>
          <w:tab w:val="num" w:pos="3240"/>
        </w:tabs>
        <w:ind w:left="3240" w:hanging="360"/>
      </w:pPr>
      <w:rPr>
        <w:rFonts w:cs="Garamond"/>
        <w:b/>
        <w:bCs/>
      </w:rPr>
    </w:lvl>
    <w:lvl w:ilvl="8">
      <w:start w:val="1"/>
      <w:numFmt w:val="lowerLetter"/>
      <w:lvlText w:val="%9)"/>
      <w:lvlJc w:val="left"/>
      <w:pPr>
        <w:tabs>
          <w:tab w:val="num" w:pos="3600"/>
        </w:tabs>
        <w:ind w:left="3600" w:hanging="360"/>
      </w:pPr>
      <w:rPr>
        <w:rFonts w:cs="Garamond"/>
        <w:b/>
        <w:bCs/>
      </w:rPr>
    </w:lvl>
  </w:abstractNum>
  <w:abstractNum w:abstractNumId="10" w15:restartNumberingAfterBreak="0">
    <w:nsid w:val="65F772FC"/>
    <w:multiLevelType w:val="multilevel"/>
    <w:tmpl w:val="11FE8078"/>
    <w:lvl w:ilvl="0">
      <w:start w:val="1"/>
      <w:numFmt w:val="decimal"/>
      <w:lvlText w:val="%1)"/>
      <w:lvlJc w:val="left"/>
      <w:pPr>
        <w:tabs>
          <w:tab w:val="num" w:pos="720"/>
        </w:tabs>
        <w:ind w:left="720" w:hanging="360"/>
      </w:pPr>
      <w:rPr>
        <w:rFonts w:ascii="Calibri" w:hAnsi="Calibri" w:cs="Garamond"/>
        <w:b/>
        <w:bCs/>
        <w:sz w:val="24"/>
      </w:rPr>
    </w:lvl>
    <w:lvl w:ilvl="1">
      <w:start w:val="1"/>
      <w:numFmt w:val="decimal"/>
      <w:lvlText w:val="%2)"/>
      <w:lvlJc w:val="left"/>
      <w:pPr>
        <w:tabs>
          <w:tab w:val="num" w:pos="1080"/>
        </w:tabs>
        <w:ind w:left="1080" w:hanging="360"/>
      </w:pPr>
      <w:rPr>
        <w:rFonts w:cs="Garamond"/>
        <w:b/>
        <w:bCs/>
      </w:rPr>
    </w:lvl>
    <w:lvl w:ilvl="2">
      <w:start w:val="1"/>
      <w:numFmt w:val="decimal"/>
      <w:lvlText w:val="%3)"/>
      <w:lvlJc w:val="left"/>
      <w:pPr>
        <w:tabs>
          <w:tab w:val="num" w:pos="1440"/>
        </w:tabs>
        <w:ind w:left="1440" w:hanging="360"/>
      </w:pPr>
      <w:rPr>
        <w:rFonts w:cs="Garamond"/>
        <w:b/>
        <w:bCs/>
      </w:rPr>
    </w:lvl>
    <w:lvl w:ilvl="3">
      <w:start w:val="1"/>
      <w:numFmt w:val="decimal"/>
      <w:lvlText w:val="%4)"/>
      <w:lvlJc w:val="left"/>
      <w:pPr>
        <w:tabs>
          <w:tab w:val="num" w:pos="1800"/>
        </w:tabs>
        <w:ind w:left="1800" w:hanging="360"/>
      </w:pPr>
      <w:rPr>
        <w:rFonts w:cs="Garamond"/>
        <w:b/>
        <w:bCs/>
      </w:rPr>
    </w:lvl>
    <w:lvl w:ilvl="4">
      <w:start w:val="1"/>
      <w:numFmt w:val="decimal"/>
      <w:lvlText w:val="%5)"/>
      <w:lvlJc w:val="left"/>
      <w:pPr>
        <w:tabs>
          <w:tab w:val="num" w:pos="2160"/>
        </w:tabs>
        <w:ind w:left="2160" w:hanging="360"/>
      </w:pPr>
      <w:rPr>
        <w:rFonts w:cs="Garamond"/>
        <w:b/>
        <w:bCs/>
      </w:rPr>
    </w:lvl>
    <w:lvl w:ilvl="5">
      <w:start w:val="1"/>
      <w:numFmt w:val="decimal"/>
      <w:lvlText w:val="%6)"/>
      <w:lvlJc w:val="left"/>
      <w:pPr>
        <w:tabs>
          <w:tab w:val="num" w:pos="2520"/>
        </w:tabs>
        <w:ind w:left="2520" w:hanging="360"/>
      </w:pPr>
      <w:rPr>
        <w:rFonts w:cs="Garamond"/>
        <w:b/>
        <w:bCs/>
      </w:rPr>
    </w:lvl>
    <w:lvl w:ilvl="6">
      <w:start w:val="1"/>
      <w:numFmt w:val="decimal"/>
      <w:lvlText w:val="%7)"/>
      <w:lvlJc w:val="left"/>
      <w:pPr>
        <w:tabs>
          <w:tab w:val="num" w:pos="2880"/>
        </w:tabs>
        <w:ind w:left="2880" w:hanging="360"/>
      </w:pPr>
      <w:rPr>
        <w:rFonts w:cs="Garamond"/>
        <w:b/>
        <w:bCs/>
      </w:rPr>
    </w:lvl>
    <w:lvl w:ilvl="7">
      <w:start w:val="1"/>
      <w:numFmt w:val="decimal"/>
      <w:lvlText w:val="%8)"/>
      <w:lvlJc w:val="left"/>
      <w:pPr>
        <w:tabs>
          <w:tab w:val="num" w:pos="3240"/>
        </w:tabs>
        <w:ind w:left="3240" w:hanging="360"/>
      </w:pPr>
      <w:rPr>
        <w:rFonts w:cs="Garamond"/>
        <w:b/>
        <w:bCs/>
      </w:rPr>
    </w:lvl>
    <w:lvl w:ilvl="8">
      <w:start w:val="1"/>
      <w:numFmt w:val="decimal"/>
      <w:lvlText w:val="%9)"/>
      <w:lvlJc w:val="left"/>
      <w:pPr>
        <w:tabs>
          <w:tab w:val="num" w:pos="3600"/>
        </w:tabs>
        <w:ind w:left="3600" w:hanging="360"/>
      </w:pPr>
      <w:rPr>
        <w:rFonts w:cs="Garamond"/>
        <w:b/>
        <w:bCs/>
      </w:rPr>
    </w:lvl>
  </w:abstractNum>
  <w:abstractNum w:abstractNumId="11" w15:restartNumberingAfterBreak="0">
    <w:nsid w:val="663E338C"/>
    <w:multiLevelType w:val="multilevel"/>
    <w:tmpl w:val="A54A734C"/>
    <w:lvl w:ilvl="0">
      <w:start w:val="1"/>
      <w:numFmt w:val="lowerLetter"/>
      <w:lvlText w:val="%1)"/>
      <w:lvlJc w:val="left"/>
      <w:pPr>
        <w:tabs>
          <w:tab w:val="num" w:pos="720"/>
        </w:tabs>
        <w:ind w:left="720" w:hanging="360"/>
      </w:pPr>
      <w:rPr>
        <w:rFonts w:ascii="Calibri" w:hAnsi="Calibri" w:cs="Garamond"/>
        <w:b/>
        <w:bCs/>
        <w:sz w:val="24"/>
      </w:rPr>
    </w:lvl>
    <w:lvl w:ilvl="1">
      <w:start w:val="1"/>
      <w:numFmt w:val="lowerLetter"/>
      <w:lvlText w:val="%2)"/>
      <w:lvlJc w:val="left"/>
      <w:pPr>
        <w:tabs>
          <w:tab w:val="num" w:pos="1080"/>
        </w:tabs>
        <w:ind w:left="1080" w:hanging="360"/>
      </w:pPr>
      <w:rPr>
        <w:rFonts w:cs="Garamond"/>
        <w:b/>
        <w:bCs/>
      </w:rPr>
    </w:lvl>
    <w:lvl w:ilvl="2">
      <w:start w:val="1"/>
      <w:numFmt w:val="lowerLetter"/>
      <w:lvlText w:val="%3)"/>
      <w:lvlJc w:val="left"/>
      <w:pPr>
        <w:tabs>
          <w:tab w:val="num" w:pos="1440"/>
        </w:tabs>
        <w:ind w:left="1440" w:hanging="360"/>
      </w:pPr>
      <w:rPr>
        <w:rFonts w:cs="Garamond"/>
        <w:b/>
        <w:bCs/>
      </w:rPr>
    </w:lvl>
    <w:lvl w:ilvl="3">
      <w:start w:val="1"/>
      <w:numFmt w:val="lowerLetter"/>
      <w:lvlText w:val="%4)"/>
      <w:lvlJc w:val="left"/>
      <w:pPr>
        <w:tabs>
          <w:tab w:val="num" w:pos="1800"/>
        </w:tabs>
        <w:ind w:left="1800" w:hanging="360"/>
      </w:pPr>
      <w:rPr>
        <w:rFonts w:cs="Garamond"/>
        <w:b/>
        <w:bCs/>
      </w:rPr>
    </w:lvl>
    <w:lvl w:ilvl="4">
      <w:start w:val="1"/>
      <w:numFmt w:val="lowerLetter"/>
      <w:lvlText w:val="%5)"/>
      <w:lvlJc w:val="left"/>
      <w:pPr>
        <w:tabs>
          <w:tab w:val="num" w:pos="2160"/>
        </w:tabs>
        <w:ind w:left="2160" w:hanging="360"/>
      </w:pPr>
      <w:rPr>
        <w:rFonts w:cs="Garamond"/>
        <w:b/>
        <w:bCs/>
      </w:rPr>
    </w:lvl>
    <w:lvl w:ilvl="5">
      <w:start w:val="1"/>
      <w:numFmt w:val="lowerLetter"/>
      <w:lvlText w:val="%6)"/>
      <w:lvlJc w:val="left"/>
      <w:pPr>
        <w:tabs>
          <w:tab w:val="num" w:pos="2520"/>
        </w:tabs>
        <w:ind w:left="2520" w:hanging="360"/>
      </w:pPr>
      <w:rPr>
        <w:rFonts w:cs="Garamond"/>
        <w:b/>
        <w:bCs/>
      </w:rPr>
    </w:lvl>
    <w:lvl w:ilvl="6">
      <w:start w:val="1"/>
      <w:numFmt w:val="lowerLetter"/>
      <w:lvlText w:val="%7)"/>
      <w:lvlJc w:val="left"/>
      <w:pPr>
        <w:tabs>
          <w:tab w:val="num" w:pos="2880"/>
        </w:tabs>
        <w:ind w:left="2880" w:hanging="360"/>
      </w:pPr>
      <w:rPr>
        <w:rFonts w:cs="Garamond"/>
        <w:b/>
        <w:bCs/>
      </w:rPr>
    </w:lvl>
    <w:lvl w:ilvl="7">
      <w:start w:val="1"/>
      <w:numFmt w:val="lowerLetter"/>
      <w:lvlText w:val="%8)"/>
      <w:lvlJc w:val="left"/>
      <w:pPr>
        <w:tabs>
          <w:tab w:val="num" w:pos="3240"/>
        </w:tabs>
        <w:ind w:left="3240" w:hanging="360"/>
      </w:pPr>
      <w:rPr>
        <w:rFonts w:cs="Garamond"/>
        <w:b/>
        <w:bCs/>
      </w:rPr>
    </w:lvl>
    <w:lvl w:ilvl="8">
      <w:start w:val="1"/>
      <w:numFmt w:val="lowerLetter"/>
      <w:lvlText w:val="%9)"/>
      <w:lvlJc w:val="left"/>
      <w:pPr>
        <w:tabs>
          <w:tab w:val="num" w:pos="3600"/>
        </w:tabs>
        <w:ind w:left="3600" w:hanging="360"/>
      </w:pPr>
      <w:rPr>
        <w:rFonts w:cs="Garamond"/>
        <w:b/>
        <w:bCs/>
      </w:rPr>
    </w:lvl>
  </w:abstractNum>
  <w:abstractNum w:abstractNumId="12" w15:restartNumberingAfterBreak="0">
    <w:nsid w:val="77E84841"/>
    <w:multiLevelType w:val="multilevel"/>
    <w:tmpl w:val="76EEF1B4"/>
    <w:lvl w:ilvl="0">
      <w:start w:val="1"/>
      <w:numFmt w:val="decimal"/>
      <w:lvlText w:val="%1)"/>
      <w:lvlJc w:val="left"/>
      <w:pPr>
        <w:tabs>
          <w:tab w:val="num" w:pos="720"/>
        </w:tabs>
        <w:ind w:left="720" w:hanging="360"/>
      </w:pPr>
      <w:rPr>
        <w:rFonts w:ascii="Calibri" w:hAnsi="Calibri" w:cs="Garamond"/>
        <w:b/>
        <w:bCs/>
        <w:sz w:val="24"/>
      </w:rPr>
    </w:lvl>
    <w:lvl w:ilvl="1">
      <w:start w:val="1"/>
      <w:numFmt w:val="decimal"/>
      <w:lvlText w:val="%2)"/>
      <w:lvlJc w:val="left"/>
      <w:pPr>
        <w:tabs>
          <w:tab w:val="num" w:pos="1080"/>
        </w:tabs>
        <w:ind w:left="1080" w:hanging="360"/>
      </w:pPr>
      <w:rPr>
        <w:rFonts w:cs="Garamond"/>
        <w:b/>
        <w:bCs/>
      </w:rPr>
    </w:lvl>
    <w:lvl w:ilvl="2">
      <w:start w:val="1"/>
      <w:numFmt w:val="decimal"/>
      <w:lvlText w:val="%3)"/>
      <w:lvlJc w:val="left"/>
      <w:pPr>
        <w:tabs>
          <w:tab w:val="num" w:pos="1440"/>
        </w:tabs>
        <w:ind w:left="1440" w:hanging="360"/>
      </w:pPr>
      <w:rPr>
        <w:rFonts w:cs="Garamond"/>
        <w:b/>
        <w:bCs/>
      </w:rPr>
    </w:lvl>
    <w:lvl w:ilvl="3">
      <w:start w:val="1"/>
      <w:numFmt w:val="decimal"/>
      <w:lvlText w:val="%4)"/>
      <w:lvlJc w:val="left"/>
      <w:pPr>
        <w:tabs>
          <w:tab w:val="num" w:pos="1800"/>
        </w:tabs>
        <w:ind w:left="1800" w:hanging="360"/>
      </w:pPr>
      <w:rPr>
        <w:rFonts w:cs="Garamond"/>
        <w:b/>
        <w:bCs/>
      </w:rPr>
    </w:lvl>
    <w:lvl w:ilvl="4">
      <w:start w:val="1"/>
      <w:numFmt w:val="decimal"/>
      <w:lvlText w:val="%5)"/>
      <w:lvlJc w:val="left"/>
      <w:pPr>
        <w:tabs>
          <w:tab w:val="num" w:pos="2160"/>
        </w:tabs>
        <w:ind w:left="2160" w:hanging="360"/>
      </w:pPr>
      <w:rPr>
        <w:rFonts w:cs="Garamond"/>
        <w:b/>
        <w:bCs/>
      </w:rPr>
    </w:lvl>
    <w:lvl w:ilvl="5">
      <w:start w:val="1"/>
      <w:numFmt w:val="decimal"/>
      <w:lvlText w:val="%6)"/>
      <w:lvlJc w:val="left"/>
      <w:pPr>
        <w:tabs>
          <w:tab w:val="num" w:pos="2520"/>
        </w:tabs>
        <w:ind w:left="2520" w:hanging="360"/>
      </w:pPr>
      <w:rPr>
        <w:rFonts w:cs="Garamond"/>
        <w:b/>
        <w:bCs/>
      </w:rPr>
    </w:lvl>
    <w:lvl w:ilvl="6">
      <w:start w:val="1"/>
      <w:numFmt w:val="decimal"/>
      <w:lvlText w:val="%7)"/>
      <w:lvlJc w:val="left"/>
      <w:pPr>
        <w:tabs>
          <w:tab w:val="num" w:pos="2880"/>
        </w:tabs>
        <w:ind w:left="2880" w:hanging="360"/>
      </w:pPr>
      <w:rPr>
        <w:rFonts w:cs="Garamond"/>
        <w:b/>
        <w:bCs/>
      </w:rPr>
    </w:lvl>
    <w:lvl w:ilvl="7">
      <w:start w:val="1"/>
      <w:numFmt w:val="decimal"/>
      <w:lvlText w:val="%8)"/>
      <w:lvlJc w:val="left"/>
      <w:pPr>
        <w:tabs>
          <w:tab w:val="num" w:pos="3240"/>
        </w:tabs>
        <w:ind w:left="3240" w:hanging="360"/>
      </w:pPr>
      <w:rPr>
        <w:rFonts w:cs="Garamond"/>
        <w:b/>
        <w:bCs/>
      </w:rPr>
    </w:lvl>
    <w:lvl w:ilvl="8">
      <w:start w:val="1"/>
      <w:numFmt w:val="decimal"/>
      <w:lvlText w:val="%9)"/>
      <w:lvlJc w:val="left"/>
      <w:pPr>
        <w:tabs>
          <w:tab w:val="num" w:pos="3600"/>
        </w:tabs>
        <w:ind w:left="3600" w:hanging="360"/>
      </w:pPr>
      <w:rPr>
        <w:rFonts w:cs="Garamond"/>
        <w:b/>
        <w:bCs/>
      </w:rPr>
    </w:lvl>
  </w:abstractNum>
  <w:num w:numId="1">
    <w:abstractNumId w:val="7"/>
  </w:num>
  <w:num w:numId="2">
    <w:abstractNumId w:val="11"/>
  </w:num>
  <w:num w:numId="3">
    <w:abstractNumId w:val="8"/>
  </w:num>
  <w:num w:numId="4">
    <w:abstractNumId w:val="2"/>
  </w:num>
  <w:num w:numId="5">
    <w:abstractNumId w:val="0"/>
  </w:num>
  <w:num w:numId="6">
    <w:abstractNumId w:val="10"/>
  </w:num>
  <w:num w:numId="7">
    <w:abstractNumId w:val="12"/>
  </w:num>
  <w:num w:numId="8">
    <w:abstractNumId w:val="1"/>
  </w:num>
  <w:num w:numId="9">
    <w:abstractNumId w:val="6"/>
  </w:num>
  <w:num w:numId="10">
    <w:abstractNumId w:val="4"/>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F4"/>
    <w:rsid w:val="00273D75"/>
    <w:rsid w:val="0035535A"/>
    <w:rsid w:val="004178BF"/>
    <w:rsid w:val="004E59F4"/>
    <w:rsid w:val="00A10BA2"/>
    <w:rsid w:val="00AA6A43"/>
    <w:rsid w:val="00BD040E"/>
    <w:rsid w:val="00D349D8"/>
    <w:rsid w:val="00F336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92573-85DE-4FE3-9612-79BC84D6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C39CA"/>
    <w:rPr>
      <w:sz w:val="22"/>
    </w:rPr>
  </w:style>
  <w:style w:type="paragraph" w:styleId="Nagwek1">
    <w:name w:val="heading 1"/>
    <w:basedOn w:val="Normalny"/>
    <w:qFormat/>
    <w:pPr>
      <w:keepNext/>
      <w:spacing w:before="567" w:after="567" w:line="360" w:lineRule="auto"/>
      <w:outlineLvl w:val="0"/>
    </w:pPr>
    <w:rPr>
      <w:rFonts w:ascii="Garamond" w:hAnsi="Garamond" w:cs="Garamond"/>
      <w:b/>
      <w:sz w:val="28"/>
    </w:rPr>
  </w:style>
  <w:style w:type="paragraph" w:styleId="Nagwek2">
    <w:name w:val="heading 2"/>
    <w:basedOn w:val="Normalny"/>
    <w:qFormat/>
    <w:pPr>
      <w:keepNext/>
      <w:spacing w:before="240" w:after="60"/>
      <w:outlineLvl w:val="1"/>
    </w:pPr>
    <w:rPr>
      <w:rFonts w:ascii="Arial" w:hAnsi="Arial" w:cs="Arial"/>
      <w:b/>
      <w:i/>
      <w:sz w:val="24"/>
    </w:rPr>
  </w:style>
  <w:style w:type="paragraph" w:styleId="Nagwek3">
    <w:name w:val="heading 3"/>
    <w:basedOn w:val="Normalny"/>
    <w:qFormat/>
    <w:pPr>
      <w:keepNext/>
      <w:spacing w:before="340" w:after="340" w:line="360" w:lineRule="auto"/>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184153"/>
    <w:rPr>
      <w:rFonts w:ascii="Segoe UI" w:hAnsi="Segoe UI" w:cs="Segoe UI"/>
      <w:sz w:val="18"/>
      <w:szCs w:val="18"/>
    </w:rPr>
  </w:style>
  <w:style w:type="character" w:customStyle="1" w:styleId="NagwekZnak">
    <w:name w:val="Nagłówek Znak"/>
    <w:basedOn w:val="Domylnaczcionkaakapitu"/>
    <w:link w:val="Nagwek"/>
    <w:uiPriority w:val="99"/>
    <w:qFormat/>
    <w:rsid w:val="00184153"/>
  </w:style>
  <w:style w:type="character" w:customStyle="1" w:styleId="StopkaZnak">
    <w:name w:val="Stopka Znak"/>
    <w:basedOn w:val="Domylnaczcionkaakapitu"/>
    <w:link w:val="Stopka"/>
    <w:uiPriority w:val="99"/>
    <w:qFormat/>
    <w:rsid w:val="00184153"/>
  </w:style>
  <w:style w:type="character" w:customStyle="1" w:styleId="AkapitzlistZnak">
    <w:name w:val="Akapit z listą Znak"/>
    <w:link w:val="Akapitzlist"/>
    <w:uiPriority w:val="34"/>
    <w:qFormat/>
    <w:rsid w:val="00DC39CA"/>
  </w:style>
  <w:style w:type="character" w:customStyle="1" w:styleId="czeinternetowe">
    <w:name w:val="Łącze internetowe"/>
    <w:rPr>
      <w:color w:val="000080"/>
      <w:u w:val="single"/>
    </w:rPr>
  </w:style>
  <w:style w:type="character" w:customStyle="1" w:styleId="czeindeksu">
    <w:name w:val="Łącze indeksu"/>
    <w:qFormat/>
  </w:style>
  <w:style w:type="character" w:customStyle="1" w:styleId="Znakinumeracji">
    <w:name w:val="Znaki numeracji"/>
    <w:qFormat/>
    <w:rPr>
      <w:rFonts w:ascii="Garamond" w:hAnsi="Garamond" w:cs="Garamond"/>
      <w:b/>
      <w:bCs/>
    </w:rPr>
  </w:style>
  <w:style w:type="character" w:styleId="Odwoaniedokomentarza">
    <w:name w:val="annotation reference"/>
    <w:basedOn w:val="Domylnaczcionkaakapitu"/>
    <w:uiPriority w:val="99"/>
    <w:semiHidden/>
    <w:unhideWhenUsed/>
    <w:qFormat/>
    <w:rsid w:val="00973917"/>
    <w:rPr>
      <w:sz w:val="16"/>
      <w:szCs w:val="16"/>
    </w:rPr>
  </w:style>
  <w:style w:type="character" w:customStyle="1" w:styleId="TekstkomentarzaZnak">
    <w:name w:val="Tekst komentarza Znak"/>
    <w:basedOn w:val="Domylnaczcionkaakapitu"/>
    <w:link w:val="Tekstkomentarza"/>
    <w:uiPriority w:val="99"/>
    <w:qFormat/>
    <w:rsid w:val="00973917"/>
    <w:rPr>
      <w:sz w:val="20"/>
      <w:szCs w:val="20"/>
    </w:rPr>
  </w:style>
  <w:style w:type="character" w:customStyle="1" w:styleId="TematkomentarzaZnak">
    <w:name w:val="Temat komentarza Znak"/>
    <w:basedOn w:val="TekstkomentarzaZnak"/>
    <w:link w:val="Tematkomentarza"/>
    <w:uiPriority w:val="99"/>
    <w:semiHidden/>
    <w:qFormat/>
    <w:rsid w:val="00973917"/>
    <w:rPr>
      <w:b/>
      <w:bCs/>
      <w:sz w:val="20"/>
      <w:szCs w:val="20"/>
    </w:rPr>
  </w:style>
  <w:style w:type="character" w:customStyle="1" w:styleId="ListLabel1">
    <w:name w:val="ListLabel 1"/>
    <w:qFormat/>
    <w:rPr>
      <w:rFonts w:ascii="Calibri" w:hAnsi="Calibri" w:cs="Garamond"/>
      <w:b/>
      <w:bCs/>
      <w:sz w:val="24"/>
    </w:rPr>
  </w:style>
  <w:style w:type="character" w:customStyle="1" w:styleId="ListLabel2">
    <w:name w:val="ListLabel 2"/>
    <w:qFormat/>
    <w:rPr>
      <w:rFonts w:cs="Garamond"/>
      <w:b/>
      <w:bCs/>
    </w:rPr>
  </w:style>
  <w:style w:type="character" w:customStyle="1" w:styleId="ListLabel3">
    <w:name w:val="ListLabel 3"/>
    <w:qFormat/>
    <w:rPr>
      <w:rFonts w:cs="Garamond"/>
      <w:b/>
      <w:bCs/>
    </w:rPr>
  </w:style>
  <w:style w:type="character" w:customStyle="1" w:styleId="ListLabel4">
    <w:name w:val="ListLabel 4"/>
    <w:qFormat/>
    <w:rPr>
      <w:rFonts w:cs="Garamond"/>
      <w:b/>
      <w:bCs/>
    </w:rPr>
  </w:style>
  <w:style w:type="character" w:customStyle="1" w:styleId="ListLabel5">
    <w:name w:val="ListLabel 5"/>
    <w:qFormat/>
    <w:rPr>
      <w:rFonts w:cs="Garamond"/>
      <w:b/>
      <w:bCs/>
    </w:rPr>
  </w:style>
  <w:style w:type="character" w:customStyle="1" w:styleId="ListLabel6">
    <w:name w:val="ListLabel 6"/>
    <w:qFormat/>
    <w:rPr>
      <w:rFonts w:cs="Garamond"/>
      <w:b/>
      <w:bCs/>
    </w:rPr>
  </w:style>
  <w:style w:type="character" w:customStyle="1" w:styleId="ListLabel7">
    <w:name w:val="ListLabel 7"/>
    <w:qFormat/>
    <w:rPr>
      <w:rFonts w:cs="Garamond"/>
      <w:b/>
      <w:bCs/>
    </w:rPr>
  </w:style>
  <w:style w:type="character" w:customStyle="1" w:styleId="ListLabel8">
    <w:name w:val="ListLabel 8"/>
    <w:qFormat/>
    <w:rPr>
      <w:rFonts w:cs="Garamond"/>
      <w:b/>
      <w:bCs/>
    </w:rPr>
  </w:style>
  <w:style w:type="character" w:customStyle="1" w:styleId="ListLabel9">
    <w:name w:val="ListLabel 9"/>
    <w:qFormat/>
    <w:rPr>
      <w:rFonts w:cs="Garamond"/>
      <w:b/>
      <w:bCs/>
    </w:rPr>
  </w:style>
  <w:style w:type="character" w:customStyle="1" w:styleId="ListLabel10">
    <w:name w:val="ListLabel 10"/>
    <w:qFormat/>
    <w:rPr>
      <w:rFonts w:ascii="Calibri" w:hAnsi="Calibri" w:cs="Garamond"/>
      <w:b/>
      <w:bCs/>
      <w:sz w:val="24"/>
    </w:rPr>
  </w:style>
  <w:style w:type="character" w:customStyle="1" w:styleId="ListLabel11">
    <w:name w:val="ListLabel 11"/>
    <w:qFormat/>
    <w:rPr>
      <w:rFonts w:cs="Garamond"/>
      <w:b/>
      <w:bCs/>
    </w:rPr>
  </w:style>
  <w:style w:type="character" w:customStyle="1" w:styleId="ListLabel12">
    <w:name w:val="ListLabel 12"/>
    <w:qFormat/>
    <w:rPr>
      <w:rFonts w:cs="Garamond"/>
      <w:b/>
      <w:bCs/>
    </w:rPr>
  </w:style>
  <w:style w:type="character" w:customStyle="1" w:styleId="ListLabel13">
    <w:name w:val="ListLabel 13"/>
    <w:qFormat/>
    <w:rPr>
      <w:rFonts w:cs="Garamond"/>
      <w:b/>
      <w:bCs/>
    </w:rPr>
  </w:style>
  <w:style w:type="character" w:customStyle="1" w:styleId="ListLabel14">
    <w:name w:val="ListLabel 14"/>
    <w:qFormat/>
    <w:rPr>
      <w:rFonts w:cs="Garamond"/>
      <w:b/>
      <w:bCs/>
    </w:rPr>
  </w:style>
  <w:style w:type="character" w:customStyle="1" w:styleId="ListLabel15">
    <w:name w:val="ListLabel 15"/>
    <w:qFormat/>
    <w:rPr>
      <w:rFonts w:cs="Garamond"/>
      <w:b/>
      <w:bCs/>
    </w:rPr>
  </w:style>
  <w:style w:type="character" w:customStyle="1" w:styleId="ListLabel16">
    <w:name w:val="ListLabel 16"/>
    <w:qFormat/>
    <w:rPr>
      <w:rFonts w:cs="Garamond"/>
      <w:b/>
      <w:bCs/>
    </w:rPr>
  </w:style>
  <w:style w:type="character" w:customStyle="1" w:styleId="ListLabel17">
    <w:name w:val="ListLabel 17"/>
    <w:qFormat/>
    <w:rPr>
      <w:rFonts w:cs="Garamond"/>
      <w:b/>
      <w:bCs/>
    </w:rPr>
  </w:style>
  <w:style w:type="character" w:customStyle="1" w:styleId="ListLabel18">
    <w:name w:val="ListLabel 18"/>
    <w:qFormat/>
    <w:rPr>
      <w:rFonts w:cs="Garamond"/>
      <w:b/>
      <w:bCs/>
    </w:rPr>
  </w:style>
  <w:style w:type="character" w:customStyle="1" w:styleId="ListLabel19">
    <w:name w:val="ListLabel 19"/>
    <w:qFormat/>
    <w:rPr>
      <w:rFonts w:ascii="Calibri" w:hAnsi="Calibri" w:cs="Garamond"/>
      <w:b/>
      <w:bCs/>
      <w:sz w:val="24"/>
    </w:rPr>
  </w:style>
  <w:style w:type="character" w:customStyle="1" w:styleId="ListLabel20">
    <w:name w:val="ListLabel 20"/>
    <w:qFormat/>
    <w:rPr>
      <w:rFonts w:cs="Garamond"/>
      <w:b/>
      <w:bCs/>
    </w:rPr>
  </w:style>
  <w:style w:type="character" w:customStyle="1" w:styleId="ListLabel21">
    <w:name w:val="ListLabel 21"/>
    <w:qFormat/>
    <w:rPr>
      <w:rFonts w:cs="Garamond"/>
      <w:b/>
      <w:bCs/>
    </w:rPr>
  </w:style>
  <w:style w:type="character" w:customStyle="1" w:styleId="ListLabel22">
    <w:name w:val="ListLabel 22"/>
    <w:qFormat/>
    <w:rPr>
      <w:rFonts w:cs="Garamond"/>
      <w:b/>
      <w:bCs/>
    </w:rPr>
  </w:style>
  <w:style w:type="character" w:customStyle="1" w:styleId="ListLabel23">
    <w:name w:val="ListLabel 23"/>
    <w:qFormat/>
    <w:rPr>
      <w:rFonts w:cs="Garamond"/>
      <w:b/>
      <w:bCs/>
    </w:rPr>
  </w:style>
  <w:style w:type="character" w:customStyle="1" w:styleId="ListLabel24">
    <w:name w:val="ListLabel 24"/>
    <w:qFormat/>
    <w:rPr>
      <w:rFonts w:cs="Garamond"/>
      <w:b/>
      <w:bCs/>
    </w:rPr>
  </w:style>
  <w:style w:type="character" w:customStyle="1" w:styleId="ListLabel25">
    <w:name w:val="ListLabel 25"/>
    <w:qFormat/>
    <w:rPr>
      <w:rFonts w:cs="Garamond"/>
      <w:b/>
      <w:bCs/>
    </w:rPr>
  </w:style>
  <w:style w:type="character" w:customStyle="1" w:styleId="ListLabel26">
    <w:name w:val="ListLabel 26"/>
    <w:qFormat/>
    <w:rPr>
      <w:rFonts w:cs="Garamond"/>
      <w:b/>
      <w:bCs/>
    </w:rPr>
  </w:style>
  <w:style w:type="character" w:customStyle="1" w:styleId="ListLabel27">
    <w:name w:val="ListLabel 27"/>
    <w:qFormat/>
    <w:rPr>
      <w:rFonts w:cs="Garamond"/>
      <w:b/>
      <w:bCs/>
    </w:rPr>
  </w:style>
  <w:style w:type="character" w:customStyle="1" w:styleId="ListLabel28">
    <w:name w:val="ListLabel 28"/>
    <w:qFormat/>
    <w:rPr>
      <w:rFonts w:ascii="Calibri" w:hAnsi="Calibri" w:cs="Garamond"/>
      <w:b/>
      <w:bCs/>
      <w:sz w:val="24"/>
    </w:rPr>
  </w:style>
  <w:style w:type="character" w:customStyle="1" w:styleId="ListLabel29">
    <w:name w:val="ListLabel 29"/>
    <w:qFormat/>
    <w:rPr>
      <w:rFonts w:cs="Garamond"/>
      <w:b/>
      <w:bCs/>
    </w:rPr>
  </w:style>
  <w:style w:type="character" w:customStyle="1" w:styleId="ListLabel30">
    <w:name w:val="ListLabel 30"/>
    <w:qFormat/>
    <w:rPr>
      <w:rFonts w:cs="Garamond"/>
      <w:b/>
      <w:bCs/>
    </w:rPr>
  </w:style>
  <w:style w:type="character" w:customStyle="1" w:styleId="ListLabel31">
    <w:name w:val="ListLabel 31"/>
    <w:qFormat/>
    <w:rPr>
      <w:rFonts w:cs="Garamond"/>
      <w:b/>
      <w:bCs/>
    </w:rPr>
  </w:style>
  <w:style w:type="character" w:customStyle="1" w:styleId="ListLabel32">
    <w:name w:val="ListLabel 32"/>
    <w:qFormat/>
    <w:rPr>
      <w:rFonts w:cs="Garamond"/>
      <w:b/>
      <w:bCs/>
    </w:rPr>
  </w:style>
  <w:style w:type="character" w:customStyle="1" w:styleId="ListLabel33">
    <w:name w:val="ListLabel 33"/>
    <w:qFormat/>
    <w:rPr>
      <w:rFonts w:cs="Garamond"/>
      <w:b/>
      <w:bCs/>
    </w:rPr>
  </w:style>
  <w:style w:type="character" w:customStyle="1" w:styleId="ListLabel34">
    <w:name w:val="ListLabel 34"/>
    <w:qFormat/>
    <w:rPr>
      <w:rFonts w:cs="Garamond"/>
      <w:b/>
      <w:bCs/>
    </w:rPr>
  </w:style>
  <w:style w:type="character" w:customStyle="1" w:styleId="ListLabel35">
    <w:name w:val="ListLabel 35"/>
    <w:qFormat/>
    <w:rPr>
      <w:rFonts w:cs="Garamond"/>
      <w:b/>
      <w:bCs/>
    </w:rPr>
  </w:style>
  <w:style w:type="character" w:customStyle="1" w:styleId="ListLabel36">
    <w:name w:val="ListLabel 36"/>
    <w:qFormat/>
    <w:rPr>
      <w:rFonts w:cs="Garamond"/>
      <w:b/>
      <w:bCs/>
    </w:rPr>
  </w:style>
  <w:style w:type="character" w:customStyle="1" w:styleId="ListLabel37">
    <w:name w:val="ListLabel 37"/>
    <w:qFormat/>
    <w:rPr>
      <w:rFonts w:ascii="Calibri" w:hAnsi="Calibri" w:cs="Garamond"/>
      <w:b/>
      <w:bCs/>
      <w:sz w:val="24"/>
    </w:rPr>
  </w:style>
  <w:style w:type="character" w:customStyle="1" w:styleId="ListLabel38">
    <w:name w:val="ListLabel 38"/>
    <w:qFormat/>
    <w:rPr>
      <w:rFonts w:cs="Garamond"/>
      <w:b/>
      <w:bCs/>
    </w:rPr>
  </w:style>
  <w:style w:type="character" w:customStyle="1" w:styleId="ListLabel39">
    <w:name w:val="ListLabel 39"/>
    <w:qFormat/>
    <w:rPr>
      <w:rFonts w:cs="Garamond"/>
      <w:b/>
      <w:bCs/>
    </w:rPr>
  </w:style>
  <w:style w:type="character" w:customStyle="1" w:styleId="ListLabel40">
    <w:name w:val="ListLabel 40"/>
    <w:qFormat/>
    <w:rPr>
      <w:rFonts w:cs="Garamond"/>
      <w:b/>
      <w:bCs/>
    </w:rPr>
  </w:style>
  <w:style w:type="character" w:customStyle="1" w:styleId="ListLabel41">
    <w:name w:val="ListLabel 41"/>
    <w:qFormat/>
    <w:rPr>
      <w:rFonts w:cs="Garamond"/>
      <w:b/>
      <w:bCs/>
    </w:rPr>
  </w:style>
  <w:style w:type="character" w:customStyle="1" w:styleId="ListLabel42">
    <w:name w:val="ListLabel 42"/>
    <w:qFormat/>
    <w:rPr>
      <w:rFonts w:cs="Garamond"/>
      <w:b/>
      <w:bCs/>
    </w:rPr>
  </w:style>
  <w:style w:type="character" w:customStyle="1" w:styleId="ListLabel43">
    <w:name w:val="ListLabel 43"/>
    <w:qFormat/>
    <w:rPr>
      <w:rFonts w:cs="Garamond"/>
      <w:b/>
      <w:bCs/>
    </w:rPr>
  </w:style>
  <w:style w:type="character" w:customStyle="1" w:styleId="ListLabel44">
    <w:name w:val="ListLabel 44"/>
    <w:qFormat/>
    <w:rPr>
      <w:rFonts w:cs="Garamond"/>
      <w:b/>
      <w:bCs/>
    </w:rPr>
  </w:style>
  <w:style w:type="character" w:customStyle="1" w:styleId="ListLabel45">
    <w:name w:val="ListLabel 45"/>
    <w:qFormat/>
    <w:rPr>
      <w:rFonts w:cs="Garamond"/>
      <w:b/>
      <w:bCs/>
    </w:rPr>
  </w:style>
  <w:style w:type="character" w:customStyle="1" w:styleId="ListLabel46">
    <w:name w:val="ListLabel 46"/>
    <w:qFormat/>
    <w:rPr>
      <w:rFonts w:ascii="Calibri" w:hAnsi="Calibri" w:cs="Garamond"/>
      <w:b/>
      <w:bCs/>
      <w:sz w:val="24"/>
    </w:rPr>
  </w:style>
  <w:style w:type="character" w:customStyle="1" w:styleId="ListLabel47">
    <w:name w:val="ListLabel 47"/>
    <w:qFormat/>
    <w:rPr>
      <w:rFonts w:cs="Garamond"/>
      <w:b/>
      <w:bCs/>
    </w:rPr>
  </w:style>
  <w:style w:type="character" w:customStyle="1" w:styleId="ListLabel48">
    <w:name w:val="ListLabel 48"/>
    <w:qFormat/>
    <w:rPr>
      <w:rFonts w:cs="Garamond"/>
      <w:b/>
      <w:bCs/>
    </w:rPr>
  </w:style>
  <w:style w:type="character" w:customStyle="1" w:styleId="ListLabel49">
    <w:name w:val="ListLabel 49"/>
    <w:qFormat/>
    <w:rPr>
      <w:rFonts w:cs="Garamond"/>
      <w:b/>
      <w:bCs/>
    </w:rPr>
  </w:style>
  <w:style w:type="character" w:customStyle="1" w:styleId="ListLabel50">
    <w:name w:val="ListLabel 50"/>
    <w:qFormat/>
    <w:rPr>
      <w:rFonts w:cs="Garamond"/>
      <w:b/>
      <w:bCs/>
    </w:rPr>
  </w:style>
  <w:style w:type="character" w:customStyle="1" w:styleId="ListLabel51">
    <w:name w:val="ListLabel 51"/>
    <w:qFormat/>
    <w:rPr>
      <w:rFonts w:cs="Garamond"/>
      <w:b/>
      <w:bCs/>
    </w:rPr>
  </w:style>
  <w:style w:type="character" w:customStyle="1" w:styleId="ListLabel52">
    <w:name w:val="ListLabel 52"/>
    <w:qFormat/>
    <w:rPr>
      <w:rFonts w:cs="Garamond"/>
      <w:b/>
      <w:bCs/>
    </w:rPr>
  </w:style>
  <w:style w:type="character" w:customStyle="1" w:styleId="ListLabel53">
    <w:name w:val="ListLabel 53"/>
    <w:qFormat/>
    <w:rPr>
      <w:rFonts w:cs="Garamond"/>
      <w:b/>
      <w:bCs/>
    </w:rPr>
  </w:style>
  <w:style w:type="character" w:customStyle="1" w:styleId="ListLabel54">
    <w:name w:val="ListLabel 54"/>
    <w:qFormat/>
    <w:rPr>
      <w:rFonts w:cs="Garamond"/>
      <w:b/>
      <w:bCs/>
    </w:rPr>
  </w:style>
  <w:style w:type="character" w:customStyle="1" w:styleId="ListLabel55">
    <w:name w:val="ListLabel 55"/>
    <w:qFormat/>
    <w:rPr>
      <w:rFonts w:ascii="Calibri" w:hAnsi="Calibri" w:cs="Garamond"/>
      <w:b/>
      <w:bCs/>
      <w:sz w:val="24"/>
    </w:rPr>
  </w:style>
  <w:style w:type="character" w:customStyle="1" w:styleId="ListLabel56">
    <w:name w:val="ListLabel 56"/>
    <w:qFormat/>
    <w:rPr>
      <w:rFonts w:cs="Garamond"/>
      <w:b/>
      <w:bCs/>
    </w:rPr>
  </w:style>
  <w:style w:type="character" w:customStyle="1" w:styleId="ListLabel57">
    <w:name w:val="ListLabel 57"/>
    <w:qFormat/>
    <w:rPr>
      <w:rFonts w:cs="Garamond"/>
      <w:b/>
      <w:bCs/>
    </w:rPr>
  </w:style>
  <w:style w:type="character" w:customStyle="1" w:styleId="ListLabel58">
    <w:name w:val="ListLabel 58"/>
    <w:qFormat/>
    <w:rPr>
      <w:rFonts w:cs="Garamond"/>
      <w:b/>
      <w:bCs/>
    </w:rPr>
  </w:style>
  <w:style w:type="character" w:customStyle="1" w:styleId="ListLabel59">
    <w:name w:val="ListLabel 59"/>
    <w:qFormat/>
    <w:rPr>
      <w:rFonts w:cs="Garamond"/>
      <w:b/>
      <w:bCs/>
    </w:rPr>
  </w:style>
  <w:style w:type="character" w:customStyle="1" w:styleId="ListLabel60">
    <w:name w:val="ListLabel 60"/>
    <w:qFormat/>
    <w:rPr>
      <w:rFonts w:cs="Garamond"/>
      <w:b/>
      <w:bCs/>
    </w:rPr>
  </w:style>
  <w:style w:type="character" w:customStyle="1" w:styleId="ListLabel61">
    <w:name w:val="ListLabel 61"/>
    <w:qFormat/>
    <w:rPr>
      <w:rFonts w:cs="Garamond"/>
      <w:b/>
      <w:bCs/>
    </w:rPr>
  </w:style>
  <w:style w:type="character" w:customStyle="1" w:styleId="ListLabel62">
    <w:name w:val="ListLabel 62"/>
    <w:qFormat/>
    <w:rPr>
      <w:rFonts w:cs="Garamond"/>
      <w:b/>
      <w:bCs/>
    </w:rPr>
  </w:style>
  <w:style w:type="character" w:customStyle="1" w:styleId="ListLabel63">
    <w:name w:val="ListLabel 63"/>
    <w:qFormat/>
    <w:rPr>
      <w:rFonts w:cs="Garamond"/>
      <w:b/>
      <w:bCs/>
    </w:rPr>
  </w:style>
  <w:style w:type="character" w:customStyle="1" w:styleId="ListLabel64">
    <w:name w:val="ListLabel 64"/>
    <w:qFormat/>
    <w:rPr>
      <w:rFonts w:ascii="Calibri" w:hAnsi="Calibri" w:cs="Garamond"/>
      <w:b/>
      <w:bCs/>
      <w:sz w:val="24"/>
    </w:rPr>
  </w:style>
  <w:style w:type="character" w:customStyle="1" w:styleId="ListLabel65">
    <w:name w:val="ListLabel 65"/>
    <w:qFormat/>
    <w:rPr>
      <w:rFonts w:cs="Garamond"/>
      <w:b/>
      <w:bCs/>
    </w:rPr>
  </w:style>
  <w:style w:type="character" w:customStyle="1" w:styleId="ListLabel66">
    <w:name w:val="ListLabel 66"/>
    <w:qFormat/>
    <w:rPr>
      <w:rFonts w:cs="Garamond"/>
      <w:b/>
      <w:bCs/>
    </w:rPr>
  </w:style>
  <w:style w:type="character" w:customStyle="1" w:styleId="ListLabel67">
    <w:name w:val="ListLabel 67"/>
    <w:qFormat/>
    <w:rPr>
      <w:rFonts w:cs="Garamond"/>
      <w:b/>
      <w:bCs/>
    </w:rPr>
  </w:style>
  <w:style w:type="character" w:customStyle="1" w:styleId="ListLabel68">
    <w:name w:val="ListLabel 68"/>
    <w:qFormat/>
    <w:rPr>
      <w:rFonts w:cs="Garamond"/>
      <w:b/>
      <w:bCs/>
    </w:rPr>
  </w:style>
  <w:style w:type="character" w:customStyle="1" w:styleId="ListLabel69">
    <w:name w:val="ListLabel 69"/>
    <w:qFormat/>
    <w:rPr>
      <w:rFonts w:cs="Garamond"/>
      <w:b/>
      <w:bCs/>
    </w:rPr>
  </w:style>
  <w:style w:type="character" w:customStyle="1" w:styleId="ListLabel70">
    <w:name w:val="ListLabel 70"/>
    <w:qFormat/>
    <w:rPr>
      <w:rFonts w:cs="Garamond"/>
      <w:b/>
      <w:bCs/>
    </w:rPr>
  </w:style>
  <w:style w:type="character" w:customStyle="1" w:styleId="ListLabel71">
    <w:name w:val="ListLabel 71"/>
    <w:qFormat/>
    <w:rPr>
      <w:rFonts w:cs="Garamond"/>
      <w:b/>
      <w:bCs/>
    </w:rPr>
  </w:style>
  <w:style w:type="character" w:customStyle="1" w:styleId="ListLabel72">
    <w:name w:val="ListLabel 72"/>
    <w:qFormat/>
    <w:rPr>
      <w:rFonts w:cs="Garamond"/>
      <w:b/>
      <w:bCs/>
    </w:rPr>
  </w:style>
  <w:style w:type="character" w:customStyle="1" w:styleId="ListLabel73">
    <w:name w:val="ListLabel 73"/>
    <w:qFormat/>
    <w:rPr>
      <w:rFonts w:ascii="Calibri" w:hAnsi="Calibri" w:cs="Garamond"/>
      <w:b/>
      <w:bCs/>
      <w:sz w:val="24"/>
    </w:rPr>
  </w:style>
  <w:style w:type="character" w:customStyle="1" w:styleId="ListLabel74">
    <w:name w:val="ListLabel 74"/>
    <w:qFormat/>
    <w:rPr>
      <w:rFonts w:cs="Garamond"/>
      <w:b/>
      <w:bCs/>
    </w:rPr>
  </w:style>
  <w:style w:type="character" w:customStyle="1" w:styleId="ListLabel75">
    <w:name w:val="ListLabel 75"/>
    <w:qFormat/>
    <w:rPr>
      <w:rFonts w:cs="Garamond"/>
      <w:b/>
      <w:bCs/>
    </w:rPr>
  </w:style>
  <w:style w:type="character" w:customStyle="1" w:styleId="ListLabel76">
    <w:name w:val="ListLabel 76"/>
    <w:qFormat/>
    <w:rPr>
      <w:rFonts w:cs="Garamond"/>
      <w:b/>
      <w:bCs/>
    </w:rPr>
  </w:style>
  <w:style w:type="character" w:customStyle="1" w:styleId="ListLabel77">
    <w:name w:val="ListLabel 77"/>
    <w:qFormat/>
    <w:rPr>
      <w:rFonts w:cs="Garamond"/>
      <w:b/>
      <w:bCs/>
    </w:rPr>
  </w:style>
  <w:style w:type="character" w:customStyle="1" w:styleId="ListLabel78">
    <w:name w:val="ListLabel 78"/>
    <w:qFormat/>
    <w:rPr>
      <w:rFonts w:cs="Garamond"/>
      <w:b/>
      <w:bCs/>
    </w:rPr>
  </w:style>
  <w:style w:type="character" w:customStyle="1" w:styleId="ListLabel79">
    <w:name w:val="ListLabel 79"/>
    <w:qFormat/>
    <w:rPr>
      <w:rFonts w:cs="Garamond"/>
      <w:b/>
      <w:bCs/>
    </w:rPr>
  </w:style>
  <w:style w:type="character" w:customStyle="1" w:styleId="ListLabel80">
    <w:name w:val="ListLabel 80"/>
    <w:qFormat/>
    <w:rPr>
      <w:rFonts w:cs="Garamond"/>
      <w:b/>
      <w:bCs/>
    </w:rPr>
  </w:style>
  <w:style w:type="character" w:customStyle="1" w:styleId="ListLabel81">
    <w:name w:val="ListLabel 81"/>
    <w:qFormat/>
    <w:rPr>
      <w:rFonts w:cs="Garamond"/>
      <w:b/>
      <w:bCs/>
    </w:rPr>
  </w:style>
  <w:style w:type="character" w:customStyle="1" w:styleId="ListLabel82">
    <w:name w:val="ListLabel 82"/>
    <w:qFormat/>
    <w:rPr>
      <w:rFonts w:ascii="Calibri" w:hAnsi="Calibri" w:cs="Garamond"/>
      <w:b/>
      <w:bCs/>
      <w:sz w:val="24"/>
    </w:rPr>
  </w:style>
  <w:style w:type="character" w:customStyle="1" w:styleId="ListLabel83">
    <w:name w:val="ListLabel 83"/>
    <w:qFormat/>
    <w:rPr>
      <w:rFonts w:ascii="Calibri" w:hAnsi="Calibri" w:cs="Garamond"/>
      <w:b/>
      <w:bCs/>
      <w:sz w:val="24"/>
    </w:rPr>
  </w:style>
  <w:style w:type="character" w:customStyle="1" w:styleId="ListLabel84">
    <w:name w:val="ListLabel 84"/>
    <w:qFormat/>
    <w:rPr>
      <w:rFonts w:cs="Garamond"/>
      <w:b/>
      <w:bCs/>
    </w:rPr>
  </w:style>
  <w:style w:type="character" w:customStyle="1" w:styleId="ListLabel85">
    <w:name w:val="ListLabel 85"/>
    <w:qFormat/>
    <w:rPr>
      <w:rFonts w:cs="Garamond"/>
      <w:b/>
      <w:bCs/>
    </w:rPr>
  </w:style>
  <w:style w:type="character" w:customStyle="1" w:styleId="ListLabel86">
    <w:name w:val="ListLabel 86"/>
    <w:qFormat/>
    <w:rPr>
      <w:rFonts w:cs="Garamond"/>
      <w:b/>
      <w:bCs/>
    </w:rPr>
  </w:style>
  <w:style w:type="character" w:customStyle="1" w:styleId="ListLabel87">
    <w:name w:val="ListLabel 87"/>
    <w:qFormat/>
    <w:rPr>
      <w:rFonts w:cs="Garamond"/>
      <w:b/>
      <w:bCs/>
    </w:rPr>
  </w:style>
  <w:style w:type="character" w:customStyle="1" w:styleId="ListLabel88">
    <w:name w:val="ListLabel 88"/>
    <w:qFormat/>
    <w:rPr>
      <w:rFonts w:cs="Garamond"/>
      <w:b/>
      <w:bCs/>
    </w:rPr>
  </w:style>
  <w:style w:type="character" w:customStyle="1" w:styleId="ListLabel89">
    <w:name w:val="ListLabel 89"/>
    <w:qFormat/>
    <w:rPr>
      <w:rFonts w:cs="Garamond"/>
      <w:b/>
      <w:bCs/>
    </w:rPr>
  </w:style>
  <w:style w:type="character" w:customStyle="1" w:styleId="ListLabel90">
    <w:name w:val="ListLabel 90"/>
    <w:qFormat/>
    <w:rPr>
      <w:rFonts w:cs="Garamond"/>
      <w:b/>
      <w:bCs/>
    </w:rPr>
  </w:style>
  <w:style w:type="character" w:customStyle="1" w:styleId="ListLabel91">
    <w:name w:val="ListLabel 91"/>
    <w:qFormat/>
    <w:rPr>
      <w:rFonts w:ascii="Calibri" w:hAnsi="Calibri" w:cs="Garamond"/>
      <w:b/>
      <w:bCs/>
      <w:sz w:val="24"/>
    </w:rPr>
  </w:style>
  <w:style w:type="character" w:customStyle="1" w:styleId="ListLabel92">
    <w:name w:val="ListLabel 92"/>
    <w:qFormat/>
    <w:rPr>
      <w:rFonts w:cs="Garamond"/>
      <w:b/>
      <w:bCs/>
    </w:rPr>
  </w:style>
  <w:style w:type="character" w:customStyle="1" w:styleId="ListLabel93">
    <w:name w:val="ListLabel 93"/>
    <w:qFormat/>
    <w:rPr>
      <w:rFonts w:cs="Garamond"/>
      <w:b/>
      <w:bCs/>
    </w:rPr>
  </w:style>
  <w:style w:type="character" w:customStyle="1" w:styleId="ListLabel94">
    <w:name w:val="ListLabel 94"/>
    <w:qFormat/>
    <w:rPr>
      <w:rFonts w:cs="Garamond"/>
      <w:b/>
      <w:bCs/>
    </w:rPr>
  </w:style>
  <w:style w:type="character" w:customStyle="1" w:styleId="ListLabel95">
    <w:name w:val="ListLabel 95"/>
    <w:qFormat/>
    <w:rPr>
      <w:rFonts w:cs="Garamond"/>
      <w:b/>
      <w:bCs/>
    </w:rPr>
  </w:style>
  <w:style w:type="character" w:customStyle="1" w:styleId="ListLabel96">
    <w:name w:val="ListLabel 96"/>
    <w:qFormat/>
    <w:rPr>
      <w:rFonts w:cs="Garamond"/>
      <w:b/>
      <w:bCs/>
    </w:rPr>
  </w:style>
  <w:style w:type="character" w:customStyle="1" w:styleId="ListLabel97">
    <w:name w:val="ListLabel 97"/>
    <w:qFormat/>
    <w:rPr>
      <w:rFonts w:cs="Garamond"/>
      <w:b/>
      <w:bCs/>
    </w:rPr>
  </w:style>
  <w:style w:type="character" w:customStyle="1" w:styleId="ListLabel98">
    <w:name w:val="ListLabel 98"/>
    <w:qFormat/>
    <w:rPr>
      <w:rFonts w:cs="Garamond"/>
      <w:b/>
      <w:bCs/>
    </w:rPr>
  </w:style>
  <w:style w:type="character" w:customStyle="1" w:styleId="ListLabel99">
    <w:name w:val="ListLabel 99"/>
    <w:qFormat/>
    <w:rPr>
      <w:rFonts w:cs="Garamond"/>
      <w:b/>
      <w:bCs/>
    </w:rPr>
  </w:style>
  <w:style w:type="character" w:customStyle="1" w:styleId="ListLabel100">
    <w:name w:val="ListLabel 100"/>
    <w:qFormat/>
    <w:rPr>
      <w:rFonts w:ascii="Calibri" w:hAnsi="Calibri" w:cs="Garamond"/>
      <w:b/>
      <w:bCs/>
      <w:sz w:val="24"/>
    </w:rPr>
  </w:style>
  <w:style w:type="character" w:customStyle="1" w:styleId="ListLabel101">
    <w:name w:val="ListLabel 101"/>
    <w:qFormat/>
    <w:rPr>
      <w:rFonts w:ascii="Calibri" w:hAnsi="Calibri" w:cs="Garamond"/>
      <w:b/>
      <w:bCs/>
      <w:sz w:val="24"/>
    </w:rPr>
  </w:style>
  <w:style w:type="character" w:customStyle="1" w:styleId="ListLabel102">
    <w:name w:val="ListLabel 102"/>
    <w:qFormat/>
    <w:rPr>
      <w:rFonts w:cs="Garamond"/>
      <w:b/>
      <w:bCs/>
    </w:rPr>
  </w:style>
  <w:style w:type="character" w:customStyle="1" w:styleId="ListLabel103">
    <w:name w:val="ListLabel 103"/>
    <w:qFormat/>
    <w:rPr>
      <w:rFonts w:cs="Garamond"/>
      <w:b/>
      <w:bCs/>
    </w:rPr>
  </w:style>
  <w:style w:type="character" w:customStyle="1" w:styleId="ListLabel104">
    <w:name w:val="ListLabel 104"/>
    <w:qFormat/>
    <w:rPr>
      <w:rFonts w:cs="Garamond"/>
      <w:b/>
      <w:bCs/>
    </w:rPr>
  </w:style>
  <w:style w:type="character" w:customStyle="1" w:styleId="ListLabel105">
    <w:name w:val="ListLabel 105"/>
    <w:qFormat/>
    <w:rPr>
      <w:rFonts w:cs="Garamond"/>
      <w:b/>
      <w:bCs/>
    </w:rPr>
  </w:style>
  <w:style w:type="character" w:customStyle="1" w:styleId="ListLabel106">
    <w:name w:val="ListLabel 106"/>
    <w:qFormat/>
    <w:rPr>
      <w:rFonts w:cs="Garamond"/>
      <w:b/>
      <w:bCs/>
    </w:rPr>
  </w:style>
  <w:style w:type="character" w:customStyle="1" w:styleId="ListLabel107">
    <w:name w:val="ListLabel 107"/>
    <w:qFormat/>
    <w:rPr>
      <w:rFonts w:cs="Garamond"/>
      <w:b/>
      <w:bCs/>
    </w:rPr>
  </w:style>
  <w:style w:type="character" w:customStyle="1" w:styleId="ListLabel108">
    <w:name w:val="ListLabel 108"/>
    <w:qFormat/>
    <w:rPr>
      <w:rFonts w:cs="Garamond"/>
      <w:b/>
      <w:bCs/>
    </w:rPr>
  </w:style>
  <w:style w:type="character" w:customStyle="1" w:styleId="ListLabel109">
    <w:name w:val="ListLabel 109"/>
    <w:qFormat/>
    <w:rPr>
      <w:rFonts w:ascii="Calibri" w:hAnsi="Calibri" w:cs="Garamond"/>
      <w:b/>
      <w:bCs/>
      <w:sz w:val="24"/>
    </w:rPr>
  </w:style>
  <w:style w:type="character" w:customStyle="1" w:styleId="ListLabel110">
    <w:name w:val="ListLabel 110"/>
    <w:qFormat/>
    <w:rPr>
      <w:rFonts w:cs="Garamond"/>
      <w:b/>
      <w:bCs/>
    </w:rPr>
  </w:style>
  <w:style w:type="character" w:customStyle="1" w:styleId="ListLabel111">
    <w:name w:val="ListLabel 111"/>
    <w:qFormat/>
    <w:rPr>
      <w:rFonts w:cs="Garamond"/>
      <w:b/>
      <w:bCs/>
    </w:rPr>
  </w:style>
  <w:style w:type="character" w:customStyle="1" w:styleId="ListLabel112">
    <w:name w:val="ListLabel 112"/>
    <w:qFormat/>
    <w:rPr>
      <w:rFonts w:cs="Garamond"/>
      <w:b/>
      <w:bCs/>
    </w:rPr>
  </w:style>
  <w:style w:type="character" w:customStyle="1" w:styleId="ListLabel113">
    <w:name w:val="ListLabel 113"/>
    <w:qFormat/>
    <w:rPr>
      <w:rFonts w:cs="Garamond"/>
      <w:b/>
      <w:bCs/>
    </w:rPr>
  </w:style>
  <w:style w:type="character" w:customStyle="1" w:styleId="ListLabel114">
    <w:name w:val="ListLabel 114"/>
    <w:qFormat/>
    <w:rPr>
      <w:rFonts w:cs="Garamond"/>
      <w:b/>
      <w:bCs/>
    </w:rPr>
  </w:style>
  <w:style w:type="character" w:customStyle="1" w:styleId="ListLabel115">
    <w:name w:val="ListLabel 115"/>
    <w:qFormat/>
    <w:rPr>
      <w:rFonts w:cs="Garamond"/>
      <w:b/>
      <w:bCs/>
    </w:rPr>
  </w:style>
  <w:style w:type="character" w:customStyle="1" w:styleId="ListLabel116">
    <w:name w:val="ListLabel 116"/>
    <w:qFormat/>
    <w:rPr>
      <w:rFonts w:cs="Garamond"/>
      <w:b/>
      <w:bCs/>
    </w:rPr>
  </w:style>
  <w:style w:type="character" w:customStyle="1" w:styleId="ListLabel117">
    <w:name w:val="ListLabel 117"/>
    <w:qFormat/>
    <w:rPr>
      <w:rFonts w:cs="Garamond"/>
      <w:b/>
      <w:bCs/>
    </w:rPr>
  </w:style>
  <w:style w:type="character" w:customStyle="1" w:styleId="ListLabel118">
    <w:name w:val="ListLabel 118"/>
    <w:qFormat/>
  </w:style>
  <w:style w:type="character" w:customStyle="1" w:styleId="ListLabel119">
    <w:name w:val="ListLabel 119"/>
    <w:qFormat/>
    <w:rPr>
      <w:rFonts w:ascii="Calibri" w:hAnsi="Calibri" w:cs="Garamond"/>
      <w:b/>
      <w:bCs/>
      <w:sz w:val="24"/>
    </w:rPr>
  </w:style>
  <w:style w:type="character" w:customStyle="1" w:styleId="ListLabel120">
    <w:name w:val="ListLabel 120"/>
    <w:qFormat/>
    <w:rPr>
      <w:rFonts w:cs="Garamond"/>
      <w:b/>
      <w:bCs/>
    </w:rPr>
  </w:style>
  <w:style w:type="character" w:customStyle="1" w:styleId="ListLabel121">
    <w:name w:val="ListLabel 121"/>
    <w:qFormat/>
    <w:rPr>
      <w:rFonts w:cs="Garamond"/>
      <w:b/>
      <w:bCs/>
    </w:rPr>
  </w:style>
  <w:style w:type="character" w:customStyle="1" w:styleId="ListLabel122">
    <w:name w:val="ListLabel 122"/>
    <w:qFormat/>
    <w:rPr>
      <w:rFonts w:cs="Garamond"/>
      <w:b/>
      <w:bCs/>
    </w:rPr>
  </w:style>
  <w:style w:type="character" w:customStyle="1" w:styleId="ListLabel123">
    <w:name w:val="ListLabel 123"/>
    <w:qFormat/>
    <w:rPr>
      <w:rFonts w:cs="Garamond"/>
      <w:b/>
      <w:bCs/>
    </w:rPr>
  </w:style>
  <w:style w:type="character" w:customStyle="1" w:styleId="ListLabel124">
    <w:name w:val="ListLabel 124"/>
    <w:qFormat/>
    <w:rPr>
      <w:rFonts w:cs="Garamond"/>
      <w:b/>
      <w:bCs/>
    </w:rPr>
  </w:style>
  <w:style w:type="character" w:customStyle="1" w:styleId="ListLabel125">
    <w:name w:val="ListLabel 125"/>
    <w:qFormat/>
    <w:rPr>
      <w:rFonts w:cs="Garamond"/>
      <w:b/>
      <w:bCs/>
    </w:rPr>
  </w:style>
  <w:style w:type="character" w:customStyle="1" w:styleId="ListLabel126">
    <w:name w:val="ListLabel 126"/>
    <w:qFormat/>
    <w:rPr>
      <w:rFonts w:cs="Garamond"/>
      <w:b/>
      <w:bCs/>
    </w:rPr>
  </w:style>
  <w:style w:type="character" w:customStyle="1" w:styleId="ListLabel127">
    <w:name w:val="ListLabel 127"/>
    <w:qFormat/>
    <w:rPr>
      <w:rFonts w:cs="Garamond"/>
      <w:b/>
      <w:bCs/>
    </w:rPr>
  </w:style>
  <w:style w:type="character" w:customStyle="1" w:styleId="ListLabel128">
    <w:name w:val="ListLabel 128"/>
    <w:qFormat/>
    <w:rPr>
      <w:rFonts w:ascii="Calibri" w:hAnsi="Calibri" w:cs="Garamond"/>
      <w:b/>
      <w:bCs/>
      <w:sz w:val="24"/>
    </w:rPr>
  </w:style>
  <w:style w:type="character" w:customStyle="1" w:styleId="ListLabel129">
    <w:name w:val="ListLabel 129"/>
    <w:qFormat/>
    <w:rPr>
      <w:rFonts w:cs="Garamond"/>
      <w:b/>
      <w:bCs/>
    </w:rPr>
  </w:style>
  <w:style w:type="character" w:customStyle="1" w:styleId="ListLabel130">
    <w:name w:val="ListLabel 130"/>
    <w:qFormat/>
    <w:rPr>
      <w:rFonts w:cs="Garamond"/>
      <w:b/>
      <w:bCs/>
    </w:rPr>
  </w:style>
  <w:style w:type="character" w:customStyle="1" w:styleId="ListLabel131">
    <w:name w:val="ListLabel 131"/>
    <w:qFormat/>
    <w:rPr>
      <w:rFonts w:cs="Garamond"/>
      <w:b/>
      <w:bCs/>
    </w:rPr>
  </w:style>
  <w:style w:type="character" w:customStyle="1" w:styleId="ListLabel132">
    <w:name w:val="ListLabel 132"/>
    <w:qFormat/>
    <w:rPr>
      <w:rFonts w:cs="Garamond"/>
      <w:b/>
      <w:bCs/>
    </w:rPr>
  </w:style>
  <w:style w:type="character" w:customStyle="1" w:styleId="ListLabel133">
    <w:name w:val="ListLabel 133"/>
    <w:qFormat/>
    <w:rPr>
      <w:rFonts w:cs="Garamond"/>
      <w:b/>
      <w:bCs/>
    </w:rPr>
  </w:style>
  <w:style w:type="character" w:customStyle="1" w:styleId="ListLabel134">
    <w:name w:val="ListLabel 134"/>
    <w:qFormat/>
    <w:rPr>
      <w:rFonts w:cs="Garamond"/>
      <w:b/>
      <w:bCs/>
    </w:rPr>
  </w:style>
  <w:style w:type="character" w:customStyle="1" w:styleId="ListLabel135">
    <w:name w:val="ListLabel 135"/>
    <w:qFormat/>
    <w:rPr>
      <w:rFonts w:cs="Garamond"/>
      <w:b/>
      <w:bCs/>
    </w:rPr>
  </w:style>
  <w:style w:type="character" w:customStyle="1" w:styleId="ListLabel136">
    <w:name w:val="ListLabel 136"/>
    <w:qFormat/>
    <w:rPr>
      <w:rFonts w:cs="Garamond"/>
      <w:b/>
      <w:bCs/>
    </w:rPr>
  </w:style>
  <w:style w:type="character" w:customStyle="1" w:styleId="ListLabel137">
    <w:name w:val="ListLabel 137"/>
    <w:qFormat/>
    <w:rPr>
      <w:rFonts w:ascii="Calibri" w:hAnsi="Calibri" w:cs="Garamond"/>
      <w:b/>
      <w:bCs/>
      <w:sz w:val="24"/>
    </w:rPr>
  </w:style>
  <w:style w:type="character" w:customStyle="1" w:styleId="ListLabel138">
    <w:name w:val="ListLabel 138"/>
    <w:qFormat/>
    <w:rPr>
      <w:rFonts w:cs="Garamond"/>
      <w:b/>
      <w:bCs/>
    </w:rPr>
  </w:style>
  <w:style w:type="character" w:customStyle="1" w:styleId="ListLabel139">
    <w:name w:val="ListLabel 139"/>
    <w:qFormat/>
    <w:rPr>
      <w:rFonts w:cs="Garamond"/>
      <w:b/>
      <w:bCs/>
    </w:rPr>
  </w:style>
  <w:style w:type="character" w:customStyle="1" w:styleId="ListLabel140">
    <w:name w:val="ListLabel 140"/>
    <w:qFormat/>
    <w:rPr>
      <w:rFonts w:cs="Garamond"/>
      <w:b/>
      <w:bCs/>
    </w:rPr>
  </w:style>
  <w:style w:type="character" w:customStyle="1" w:styleId="ListLabel141">
    <w:name w:val="ListLabel 141"/>
    <w:qFormat/>
    <w:rPr>
      <w:rFonts w:cs="Garamond"/>
      <w:b/>
      <w:bCs/>
    </w:rPr>
  </w:style>
  <w:style w:type="character" w:customStyle="1" w:styleId="ListLabel142">
    <w:name w:val="ListLabel 142"/>
    <w:qFormat/>
    <w:rPr>
      <w:rFonts w:cs="Garamond"/>
      <w:b/>
      <w:bCs/>
    </w:rPr>
  </w:style>
  <w:style w:type="character" w:customStyle="1" w:styleId="ListLabel143">
    <w:name w:val="ListLabel 143"/>
    <w:qFormat/>
    <w:rPr>
      <w:rFonts w:cs="Garamond"/>
      <w:b/>
      <w:bCs/>
    </w:rPr>
  </w:style>
  <w:style w:type="character" w:customStyle="1" w:styleId="ListLabel144">
    <w:name w:val="ListLabel 144"/>
    <w:qFormat/>
    <w:rPr>
      <w:rFonts w:cs="Garamond"/>
      <w:b/>
      <w:bCs/>
    </w:rPr>
  </w:style>
  <w:style w:type="character" w:customStyle="1" w:styleId="ListLabel145">
    <w:name w:val="ListLabel 145"/>
    <w:qFormat/>
    <w:rPr>
      <w:rFonts w:cs="Garamond"/>
      <w:b/>
      <w:bCs/>
    </w:rPr>
  </w:style>
  <w:style w:type="character" w:customStyle="1" w:styleId="ListLabel146">
    <w:name w:val="ListLabel 146"/>
    <w:qFormat/>
    <w:rPr>
      <w:rFonts w:ascii="Calibri" w:hAnsi="Calibri" w:cs="Garamond"/>
      <w:b/>
      <w:bCs/>
      <w:sz w:val="24"/>
    </w:rPr>
  </w:style>
  <w:style w:type="character" w:customStyle="1" w:styleId="ListLabel147">
    <w:name w:val="ListLabel 147"/>
    <w:qFormat/>
    <w:rPr>
      <w:rFonts w:cs="Garamond"/>
      <w:b/>
      <w:bCs/>
    </w:rPr>
  </w:style>
  <w:style w:type="character" w:customStyle="1" w:styleId="ListLabel148">
    <w:name w:val="ListLabel 148"/>
    <w:qFormat/>
    <w:rPr>
      <w:rFonts w:cs="Garamond"/>
      <w:b/>
      <w:bCs/>
    </w:rPr>
  </w:style>
  <w:style w:type="character" w:customStyle="1" w:styleId="ListLabel149">
    <w:name w:val="ListLabel 149"/>
    <w:qFormat/>
    <w:rPr>
      <w:rFonts w:cs="Garamond"/>
      <w:b/>
      <w:bCs/>
    </w:rPr>
  </w:style>
  <w:style w:type="character" w:customStyle="1" w:styleId="ListLabel150">
    <w:name w:val="ListLabel 150"/>
    <w:qFormat/>
    <w:rPr>
      <w:rFonts w:cs="Garamond"/>
      <w:b/>
      <w:bCs/>
    </w:rPr>
  </w:style>
  <w:style w:type="character" w:customStyle="1" w:styleId="ListLabel151">
    <w:name w:val="ListLabel 151"/>
    <w:qFormat/>
    <w:rPr>
      <w:rFonts w:cs="Garamond"/>
      <w:b/>
      <w:bCs/>
    </w:rPr>
  </w:style>
  <w:style w:type="character" w:customStyle="1" w:styleId="ListLabel152">
    <w:name w:val="ListLabel 152"/>
    <w:qFormat/>
    <w:rPr>
      <w:rFonts w:cs="Garamond"/>
      <w:b/>
      <w:bCs/>
    </w:rPr>
  </w:style>
  <w:style w:type="character" w:customStyle="1" w:styleId="ListLabel153">
    <w:name w:val="ListLabel 153"/>
    <w:qFormat/>
    <w:rPr>
      <w:rFonts w:cs="Garamond"/>
      <w:b/>
      <w:bCs/>
    </w:rPr>
  </w:style>
  <w:style w:type="character" w:customStyle="1" w:styleId="ListLabel154">
    <w:name w:val="ListLabel 154"/>
    <w:qFormat/>
    <w:rPr>
      <w:rFonts w:cs="Garamond"/>
      <w:b/>
      <w:bCs/>
    </w:rPr>
  </w:style>
  <w:style w:type="character" w:customStyle="1" w:styleId="ListLabel155">
    <w:name w:val="ListLabel 155"/>
    <w:qFormat/>
    <w:rPr>
      <w:rFonts w:ascii="Calibri" w:hAnsi="Calibri" w:cs="Garamond"/>
      <w:b/>
      <w:bCs/>
      <w:sz w:val="24"/>
    </w:rPr>
  </w:style>
  <w:style w:type="character" w:customStyle="1" w:styleId="ListLabel156">
    <w:name w:val="ListLabel 156"/>
    <w:qFormat/>
    <w:rPr>
      <w:rFonts w:cs="Garamond"/>
      <w:b/>
      <w:bCs/>
    </w:rPr>
  </w:style>
  <w:style w:type="character" w:customStyle="1" w:styleId="ListLabel157">
    <w:name w:val="ListLabel 157"/>
    <w:qFormat/>
    <w:rPr>
      <w:rFonts w:cs="Garamond"/>
      <w:b/>
      <w:bCs/>
    </w:rPr>
  </w:style>
  <w:style w:type="character" w:customStyle="1" w:styleId="ListLabel158">
    <w:name w:val="ListLabel 158"/>
    <w:qFormat/>
    <w:rPr>
      <w:rFonts w:cs="Garamond"/>
      <w:b/>
      <w:bCs/>
    </w:rPr>
  </w:style>
  <w:style w:type="character" w:customStyle="1" w:styleId="ListLabel159">
    <w:name w:val="ListLabel 159"/>
    <w:qFormat/>
    <w:rPr>
      <w:rFonts w:cs="Garamond"/>
      <w:b/>
      <w:bCs/>
    </w:rPr>
  </w:style>
  <w:style w:type="character" w:customStyle="1" w:styleId="ListLabel160">
    <w:name w:val="ListLabel 160"/>
    <w:qFormat/>
    <w:rPr>
      <w:rFonts w:cs="Garamond"/>
      <w:b/>
      <w:bCs/>
    </w:rPr>
  </w:style>
  <w:style w:type="character" w:customStyle="1" w:styleId="ListLabel161">
    <w:name w:val="ListLabel 161"/>
    <w:qFormat/>
    <w:rPr>
      <w:rFonts w:cs="Garamond"/>
      <w:b/>
      <w:bCs/>
    </w:rPr>
  </w:style>
  <w:style w:type="character" w:customStyle="1" w:styleId="ListLabel162">
    <w:name w:val="ListLabel 162"/>
    <w:qFormat/>
    <w:rPr>
      <w:rFonts w:cs="Garamond"/>
      <w:b/>
      <w:bCs/>
    </w:rPr>
  </w:style>
  <w:style w:type="character" w:customStyle="1" w:styleId="ListLabel163">
    <w:name w:val="ListLabel 163"/>
    <w:qFormat/>
    <w:rPr>
      <w:rFonts w:cs="Garamond"/>
      <w:b/>
      <w:bCs/>
    </w:rPr>
  </w:style>
  <w:style w:type="character" w:customStyle="1" w:styleId="ListLabel164">
    <w:name w:val="ListLabel 164"/>
    <w:qFormat/>
    <w:rPr>
      <w:rFonts w:ascii="Calibri" w:hAnsi="Calibri" w:cs="Garamond"/>
      <w:b/>
      <w:bCs/>
      <w:sz w:val="24"/>
    </w:rPr>
  </w:style>
  <w:style w:type="character" w:customStyle="1" w:styleId="ListLabel165">
    <w:name w:val="ListLabel 165"/>
    <w:qFormat/>
    <w:rPr>
      <w:rFonts w:cs="Garamond"/>
      <w:b/>
      <w:bCs/>
    </w:rPr>
  </w:style>
  <w:style w:type="character" w:customStyle="1" w:styleId="ListLabel166">
    <w:name w:val="ListLabel 166"/>
    <w:qFormat/>
    <w:rPr>
      <w:rFonts w:cs="Garamond"/>
      <w:b/>
      <w:bCs/>
    </w:rPr>
  </w:style>
  <w:style w:type="character" w:customStyle="1" w:styleId="ListLabel167">
    <w:name w:val="ListLabel 167"/>
    <w:qFormat/>
    <w:rPr>
      <w:rFonts w:cs="Garamond"/>
      <w:b/>
      <w:bCs/>
    </w:rPr>
  </w:style>
  <w:style w:type="character" w:customStyle="1" w:styleId="ListLabel168">
    <w:name w:val="ListLabel 168"/>
    <w:qFormat/>
    <w:rPr>
      <w:rFonts w:cs="Garamond"/>
      <w:b/>
      <w:bCs/>
    </w:rPr>
  </w:style>
  <w:style w:type="character" w:customStyle="1" w:styleId="ListLabel169">
    <w:name w:val="ListLabel 169"/>
    <w:qFormat/>
    <w:rPr>
      <w:rFonts w:cs="Garamond"/>
      <w:b/>
      <w:bCs/>
    </w:rPr>
  </w:style>
  <w:style w:type="character" w:customStyle="1" w:styleId="ListLabel170">
    <w:name w:val="ListLabel 170"/>
    <w:qFormat/>
    <w:rPr>
      <w:rFonts w:cs="Garamond"/>
      <w:b/>
      <w:bCs/>
    </w:rPr>
  </w:style>
  <w:style w:type="character" w:customStyle="1" w:styleId="ListLabel171">
    <w:name w:val="ListLabel 171"/>
    <w:qFormat/>
    <w:rPr>
      <w:rFonts w:cs="Garamond"/>
      <w:b/>
      <w:bCs/>
    </w:rPr>
  </w:style>
  <w:style w:type="character" w:customStyle="1" w:styleId="ListLabel172">
    <w:name w:val="ListLabel 172"/>
    <w:qFormat/>
    <w:rPr>
      <w:rFonts w:cs="Garamond"/>
      <w:b/>
      <w:bCs/>
    </w:rPr>
  </w:style>
  <w:style w:type="character" w:customStyle="1" w:styleId="ListLabel173">
    <w:name w:val="ListLabel 173"/>
    <w:qFormat/>
    <w:rPr>
      <w:rFonts w:ascii="Calibri" w:hAnsi="Calibri" w:cs="Garamond"/>
      <w:b/>
      <w:bCs/>
      <w:sz w:val="24"/>
    </w:rPr>
  </w:style>
  <w:style w:type="character" w:customStyle="1" w:styleId="ListLabel174">
    <w:name w:val="ListLabel 174"/>
    <w:qFormat/>
    <w:rPr>
      <w:rFonts w:cs="Garamond"/>
      <w:b/>
      <w:bCs/>
    </w:rPr>
  </w:style>
  <w:style w:type="character" w:customStyle="1" w:styleId="ListLabel175">
    <w:name w:val="ListLabel 175"/>
    <w:qFormat/>
    <w:rPr>
      <w:rFonts w:cs="Garamond"/>
      <w:b/>
      <w:bCs/>
    </w:rPr>
  </w:style>
  <w:style w:type="character" w:customStyle="1" w:styleId="ListLabel176">
    <w:name w:val="ListLabel 176"/>
    <w:qFormat/>
    <w:rPr>
      <w:rFonts w:cs="Garamond"/>
      <w:b/>
      <w:bCs/>
    </w:rPr>
  </w:style>
  <w:style w:type="character" w:customStyle="1" w:styleId="ListLabel177">
    <w:name w:val="ListLabel 177"/>
    <w:qFormat/>
    <w:rPr>
      <w:rFonts w:cs="Garamond"/>
      <w:b/>
      <w:bCs/>
    </w:rPr>
  </w:style>
  <w:style w:type="character" w:customStyle="1" w:styleId="ListLabel178">
    <w:name w:val="ListLabel 178"/>
    <w:qFormat/>
    <w:rPr>
      <w:rFonts w:cs="Garamond"/>
      <w:b/>
      <w:bCs/>
    </w:rPr>
  </w:style>
  <w:style w:type="character" w:customStyle="1" w:styleId="ListLabel179">
    <w:name w:val="ListLabel 179"/>
    <w:qFormat/>
    <w:rPr>
      <w:rFonts w:cs="Garamond"/>
      <w:b/>
      <w:bCs/>
    </w:rPr>
  </w:style>
  <w:style w:type="character" w:customStyle="1" w:styleId="ListLabel180">
    <w:name w:val="ListLabel 180"/>
    <w:qFormat/>
    <w:rPr>
      <w:rFonts w:cs="Garamond"/>
      <w:b/>
      <w:bCs/>
    </w:rPr>
  </w:style>
  <w:style w:type="character" w:customStyle="1" w:styleId="ListLabel181">
    <w:name w:val="ListLabel 181"/>
    <w:qFormat/>
    <w:rPr>
      <w:rFonts w:cs="Garamond"/>
      <w:b/>
      <w:bCs/>
    </w:rPr>
  </w:style>
  <w:style w:type="character" w:customStyle="1" w:styleId="ListLabel182">
    <w:name w:val="ListLabel 182"/>
    <w:qFormat/>
    <w:rPr>
      <w:rFonts w:ascii="Calibri" w:hAnsi="Calibri" w:cs="Garamond"/>
      <w:b/>
      <w:bCs/>
      <w:sz w:val="24"/>
    </w:rPr>
  </w:style>
  <w:style w:type="character" w:customStyle="1" w:styleId="ListLabel183">
    <w:name w:val="ListLabel 183"/>
    <w:qFormat/>
    <w:rPr>
      <w:rFonts w:cs="Garamond"/>
      <w:b/>
      <w:bCs/>
    </w:rPr>
  </w:style>
  <w:style w:type="character" w:customStyle="1" w:styleId="ListLabel184">
    <w:name w:val="ListLabel 184"/>
    <w:qFormat/>
    <w:rPr>
      <w:rFonts w:cs="Garamond"/>
      <w:b/>
      <w:bCs/>
    </w:rPr>
  </w:style>
  <w:style w:type="character" w:customStyle="1" w:styleId="ListLabel185">
    <w:name w:val="ListLabel 185"/>
    <w:qFormat/>
    <w:rPr>
      <w:rFonts w:cs="Garamond"/>
      <w:b/>
      <w:bCs/>
    </w:rPr>
  </w:style>
  <w:style w:type="character" w:customStyle="1" w:styleId="ListLabel186">
    <w:name w:val="ListLabel 186"/>
    <w:qFormat/>
    <w:rPr>
      <w:rFonts w:cs="Garamond"/>
      <w:b/>
      <w:bCs/>
    </w:rPr>
  </w:style>
  <w:style w:type="character" w:customStyle="1" w:styleId="ListLabel187">
    <w:name w:val="ListLabel 187"/>
    <w:qFormat/>
    <w:rPr>
      <w:rFonts w:cs="Garamond"/>
      <w:b/>
      <w:bCs/>
    </w:rPr>
  </w:style>
  <w:style w:type="character" w:customStyle="1" w:styleId="ListLabel188">
    <w:name w:val="ListLabel 188"/>
    <w:qFormat/>
    <w:rPr>
      <w:rFonts w:cs="Garamond"/>
      <w:b/>
      <w:bCs/>
    </w:rPr>
  </w:style>
  <w:style w:type="character" w:customStyle="1" w:styleId="ListLabel189">
    <w:name w:val="ListLabel 189"/>
    <w:qFormat/>
    <w:rPr>
      <w:rFonts w:cs="Garamond"/>
      <w:b/>
      <w:bCs/>
    </w:rPr>
  </w:style>
  <w:style w:type="character" w:customStyle="1" w:styleId="ListLabel190">
    <w:name w:val="ListLabel 190"/>
    <w:qFormat/>
    <w:rPr>
      <w:rFonts w:cs="Garamond"/>
      <w:b/>
      <w:bCs/>
    </w:rPr>
  </w:style>
  <w:style w:type="character" w:customStyle="1" w:styleId="ListLabel191">
    <w:name w:val="ListLabel 191"/>
    <w:qFormat/>
    <w:rPr>
      <w:rFonts w:ascii="Calibri" w:hAnsi="Calibri" w:cs="Garamond"/>
      <w:b/>
      <w:bCs/>
      <w:sz w:val="24"/>
    </w:rPr>
  </w:style>
  <w:style w:type="character" w:customStyle="1" w:styleId="ListLabel192">
    <w:name w:val="ListLabel 192"/>
    <w:qFormat/>
    <w:rPr>
      <w:rFonts w:cs="Garamond"/>
      <w:b/>
      <w:bCs/>
    </w:rPr>
  </w:style>
  <w:style w:type="character" w:customStyle="1" w:styleId="ListLabel193">
    <w:name w:val="ListLabel 193"/>
    <w:qFormat/>
    <w:rPr>
      <w:rFonts w:cs="Garamond"/>
      <w:b/>
      <w:bCs/>
    </w:rPr>
  </w:style>
  <w:style w:type="character" w:customStyle="1" w:styleId="ListLabel194">
    <w:name w:val="ListLabel 194"/>
    <w:qFormat/>
    <w:rPr>
      <w:rFonts w:cs="Garamond"/>
      <w:b/>
      <w:bCs/>
    </w:rPr>
  </w:style>
  <w:style w:type="character" w:customStyle="1" w:styleId="ListLabel195">
    <w:name w:val="ListLabel 195"/>
    <w:qFormat/>
    <w:rPr>
      <w:rFonts w:cs="Garamond"/>
      <w:b/>
      <w:bCs/>
    </w:rPr>
  </w:style>
  <w:style w:type="character" w:customStyle="1" w:styleId="ListLabel196">
    <w:name w:val="ListLabel 196"/>
    <w:qFormat/>
    <w:rPr>
      <w:rFonts w:cs="Garamond"/>
      <w:b/>
      <w:bCs/>
    </w:rPr>
  </w:style>
  <w:style w:type="character" w:customStyle="1" w:styleId="ListLabel197">
    <w:name w:val="ListLabel 197"/>
    <w:qFormat/>
    <w:rPr>
      <w:rFonts w:cs="Garamond"/>
      <w:b/>
      <w:bCs/>
    </w:rPr>
  </w:style>
  <w:style w:type="character" w:customStyle="1" w:styleId="ListLabel198">
    <w:name w:val="ListLabel 198"/>
    <w:qFormat/>
    <w:rPr>
      <w:rFonts w:cs="Garamond"/>
      <w:b/>
      <w:bCs/>
    </w:rPr>
  </w:style>
  <w:style w:type="character" w:customStyle="1" w:styleId="ListLabel199">
    <w:name w:val="ListLabel 199"/>
    <w:qFormat/>
    <w:rPr>
      <w:rFonts w:cs="Garamond"/>
      <w:b/>
      <w:bCs/>
    </w:rPr>
  </w:style>
  <w:style w:type="character" w:customStyle="1" w:styleId="ListLabel200">
    <w:name w:val="ListLabel 200"/>
    <w:qFormat/>
    <w:rPr>
      <w:rFonts w:ascii="Calibri" w:hAnsi="Calibri" w:cs="Garamond"/>
      <w:b/>
      <w:bCs/>
      <w:sz w:val="24"/>
    </w:rPr>
  </w:style>
  <w:style w:type="character" w:customStyle="1" w:styleId="ListLabel201">
    <w:name w:val="ListLabel 201"/>
    <w:qFormat/>
    <w:rPr>
      <w:rFonts w:ascii="Calibri" w:hAnsi="Calibri" w:cs="Garamond"/>
      <w:b/>
      <w:bCs/>
      <w:sz w:val="24"/>
    </w:rPr>
  </w:style>
  <w:style w:type="character" w:customStyle="1" w:styleId="ListLabel202">
    <w:name w:val="ListLabel 202"/>
    <w:qFormat/>
    <w:rPr>
      <w:rFonts w:cs="Garamond"/>
      <w:b/>
      <w:bCs/>
    </w:rPr>
  </w:style>
  <w:style w:type="character" w:customStyle="1" w:styleId="ListLabel203">
    <w:name w:val="ListLabel 203"/>
    <w:qFormat/>
    <w:rPr>
      <w:rFonts w:cs="Garamond"/>
      <w:b/>
      <w:bCs/>
    </w:rPr>
  </w:style>
  <w:style w:type="character" w:customStyle="1" w:styleId="ListLabel204">
    <w:name w:val="ListLabel 204"/>
    <w:qFormat/>
    <w:rPr>
      <w:rFonts w:cs="Garamond"/>
      <w:b/>
      <w:bCs/>
    </w:rPr>
  </w:style>
  <w:style w:type="character" w:customStyle="1" w:styleId="ListLabel205">
    <w:name w:val="ListLabel 205"/>
    <w:qFormat/>
    <w:rPr>
      <w:rFonts w:cs="Garamond"/>
      <w:b/>
      <w:bCs/>
    </w:rPr>
  </w:style>
  <w:style w:type="character" w:customStyle="1" w:styleId="ListLabel206">
    <w:name w:val="ListLabel 206"/>
    <w:qFormat/>
    <w:rPr>
      <w:rFonts w:cs="Garamond"/>
      <w:b/>
      <w:bCs/>
    </w:rPr>
  </w:style>
  <w:style w:type="character" w:customStyle="1" w:styleId="ListLabel207">
    <w:name w:val="ListLabel 207"/>
    <w:qFormat/>
    <w:rPr>
      <w:rFonts w:cs="Garamond"/>
      <w:b/>
      <w:bCs/>
    </w:rPr>
  </w:style>
  <w:style w:type="character" w:customStyle="1" w:styleId="ListLabel208">
    <w:name w:val="ListLabel 208"/>
    <w:qFormat/>
    <w:rPr>
      <w:rFonts w:cs="Garamond"/>
      <w:b/>
      <w:bCs/>
    </w:rPr>
  </w:style>
  <w:style w:type="character" w:customStyle="1" w:styleId="ListLabel209">
    <w:name w:val="ListLabel 209"/>
    <w:qFormat/>
    <w:rPr>
      <w:rFonts w:ascii="Calibri" w:hAnsi="Calibri" w:cs="Garamond"/>
      <w:b/>
      <w:bCs/>
      <w:sz w:val="24"/>
    </w:rPr>
  </w:style>
  <w:style w:type="character" w:customStyle="1" w:styleId="ListLabel210">
    <w:name w:val="ListLabel 210"/>
    <w:qFormat/>
    <w:rPr>
      <w:rFonts w:cs="Garamond"/>
      <w:b/>
      <w:bCs/>
    </w:rPr>
  </w:style>
  <w:style w:type="character" w:customStyle="1" w:styleId="ListLabel211">
    <w:name w:val="ListLabel 211"/>
    <w:qFormat/>
    <w:rPr>
      <w:rFonts w:cs="Garamond"/>
      <w:b/>
      <w:bCs/>
    </w:rPr>
  </w:style>
  <w:style w:type="character" w:customStyle="1" w:styleId="ListLabel212">
    <w:name w:val="ListLabel 212"/>
    <w:qFormat/>
    <w:rPr>
      <w:rFonts w:cs="Garamond"/>
      <w:b/>
      <w:bCs/>
    </w:rPr>
  </w:style>
  <w:style w:type="character" w:customStyle="1" w:styleId="ListLabel213">
    <w:name w:val="ListLabel 213"/>
    <w:qFormat/>
    <w:rPr>
      <w:rFonts w:cs="Garamond"/>
      <w:b/>
      <w:bCs/>
    </w:rPr>
  </w:style>
  <w:style w:type="character" w:customStyle="1" w:styleId="ListLabel214">
    <w:name w:val="ListLabel 214"/>
    <w:qFormat/>
    <w:rPr>
      <w:rFonts w:cs="Garamond"/>
      <w:b/>
      <w:bCs/>
    </w:rPr>
  </w:style>
  <w:style w:type="character" w:customStyle="1" w:styleId="ListLabel215">
    <w:name w:val="ListLabel 215"/>
    <w:qFormat/>
    <w:rPr>
      <w:rFonts w:cs="Garamond"/>
      <w:b/>
      <w:bCs/>
    </w:rPr>
  </w:style>
  <w:style w:type="character" w:customStyle="1" w:styleId="ListLabel216">
    <w:name w:val="ListLabel 216"/>
    <w:qFormat/>
    <w:rPr>
      <w:rFonts w:cs="Garamond"/>
      <w:b/>
      <w:bCs/>
    </w:rPr>
  </w:style>
  <w:style w:type="character" w:customStyle="1" w:styleId="ListLabel217">
    <w:name w:val="ListLabel 217"/>
    <w:qFormat/>
    <w:rPr>
      <w:rFonts w:cs="Garamond"/>
      <w:b/>
      <w:bCs/>
    </w:rPr>
  </w:style>
  <w:style w:type="character" w:customStyle="1" w:styleId="ListLabel218">
    <w:name w:val="ListLabel 218"/>
    <w:qFormat/>
    <w:rPr>
      <w:rFonts w:ascii="Calibri" w:hAnsi="Calibri" w:cs="Garamond"/>
      <w:b/>
      <w:bCs/>
      <w:sz w:val="24"/>
    </w:rPr>
  </w:style>
  <w:style w:type="character" w:customStyle="1" w:styleId="ListLabel219">
    <w:name w:val="ListLabel 219"/>
    <w:qFormat/>
    <w:rPr>
      <w:rFonts w:ascii="Calibri" w:hAnsi="Calibri" w:cs="Garamond"/>
      <w:b/>
      <w:bCs/>
      <w:sz w:val="24"/>
    </w:rPr>
  </w:style>
  <w:style w:type="character" w:customStyle="1" w:styleId="ListLabel220">
    <w:name w:val="ListLabel 220"/>
    <w:qFormat/>
    <w:rPr>
      <w:rFonts w:cs="Garamond"/>
      <w:b/>
      <w:bCs/>
    </w:rPr>
  </w:style>
  <w:style w:type="character" w:customStyle="1" w:styleId="ListLabel221">
    <w:name w:val="ListLabel 221"/>
    <w:qFormat/>
    <w:rPr>
      <w:rFonts w:cs="Garamond"/>
      <w:b/>
      <w:bCs/>
    </w:rPr>
  </w:style>
  <w:style w:type="character" w:customStyle="1" w:styleId="ListLabel222">
    <w:name w:val="ListLabel 222"/>
    <w:qFormat/>
    <w:rPr>
      <w:rFonts w:cs="Garamond"/>
      <w:b/>
      <w:bCs/>
    </w:rPr>
  </w:style>
  <w:style w:type="character" w:customStyle="1" w:styleId="ListLabel223">
    <w:name w:val="ListLabel 223"/>
    <w:qFormat/>
    <w:rPr>
      <w:rFonts w:cs="Garamond"/>
      <w:b/>
      <w:bCs/>
    </w:rPr>
  </w:style>
  <w:style w:type="character" w:customStyle="1" w:styleId="ListLabel224">
    <w:name w:val="ListLabel 224"/>
    <w:qFormat/>
    <w:rPr>
      <w:rFonts w:cs="Garamond"/>
      <w:b/>
      <w:bCs/>
    </w:rPr>
  </w:style>
  <w:style w:type="character" w:customStyle="1" w:styleId="ListLabel225">
    <w:name w:val="ListLabel 225"/>
    <w:qFormat/>
    <w:rPr>
      <w:rFonts w:cs="Garamond"/>
      <w:b/>
      <w:bCs/>
    </w:rPr>
  </w:style>
  <w:style w:type="character" w:customStyle="1" w:styleId="ListLabel226">
    <w:name w:val="ListLabel 226"/>
    <w:qFormat/>
    <w:rPr>
      <w:rFonts w:cs="Garamond"/>
      <w:b/>
      <w:bCs/>
    </w:rPr>
  </w:style>
  <w:style w:type="character" w:customStyle="1" w:styleId="ListLabel227">
    <w:name w:val="ListLabel 227"/>
    <w:qFormat/>
    <w:rPr>
      <w:rFonts w:ascii="Calibri" w:hAnsi="Calibri" w:cs="Garamond"/>
      <w:b/>
      <w:bCs/>
      <w:sz w:val="24"/>
    </w:rPr>
  </w:style>
  <w:style w:type="character" w:customStyle="1" w:styleId="ListLabel228">
    <w:name w:val="ListLabel 228"/>
    <w:qFormat/>
    <w:rPr>
      <w:rFonts w:cs="Garamond"/>
      <w:b/>
      <w:bCs/>
    </w:rPr>
  </w:style>
  <w:style w:type="character" w:customStyle="1" w:styleId="ListLabel229">
    <w:name w:val="ListLabel 229"/>
    <w:qFormat/>
    <w:rPr>
      <w:rFonts w:cs="Garamond"/>
      <w:b/>
      <w:bCs/>
    </w:rPr>
  </w:style>
  <w:style w:type="character" w:customStyle="1" w:styleId="ListLabel230">
    <w:name w:val="ListLabel 230"/>
    <w:qFormat/>
    <w:rPr>
      <w:rFonts w:cs="Garamond"/>
      <w:b/>
      <w:bCs/>
    </w:rPr>
  </w:style>
  <w:style w:type="character" w:customStyle="1" w:styleId="ListLabel231">
    <w:name w:val="ListLabel 231"/>
    <w:qFormat/>
    <w:rPr>
      <w:rFonts w:cs="Garamond"/>
      <w:b/>
      <w:bCs/>
    </w:rPr>
  </w:style>
  <w:style w:type="character" w:customStyle="1" w:styleId="ListLabel232">
    <w:name w:val="ListLabel 232"/>
    <w:qFormat/>
    <w:rPr>
      <w:rFonts w:cs="Garamond"/>
      <w:b/>
      <w:bCs/>
    </w:rPr>
  </w:style>
  <w:style w:type="character" w:customStyle="1" w:styleId="ListLabel233">
    <w:name w:val="ListLabel 233"/>
    <w:qFormat/>
    <w:rPr>
      <w:rFonts w:cs="Garamond"/>
      <w:b/>
      <w:bCs/>
    </w:rPr>
  </w:style>
  <w:style w:type="character" w:customStyle="1" w:styleId="ListLabel234">
    <w:name w:val="ListLabel 234"/>
    <w:qFormat/>
    <w:rPr>
      <w:rFonts w:cs="Garamond"/>
      <w:b/>
      <w:bCs/>
    </w:rPr>
  </w:style>
  <w:style w:type="character" w:customStyle="1" w:styleId="ListLabel235">
    <w:name w:val="ListLabel 235"/>
    <w:qFormat/>
    <w:rPr>
      <w:rFonts w:cs="Garamond"/>
      <w:b/>
      <w:bCs/>
    </w:rPr>
  </w:style>
  <w:style w:type="character" w:customStyle="1" w:styleId="ListLabel236">
    <w:name w:val="ListLabel 236"/>
    <w:qFormat/>
  </w:style>
  <w:style w:type="character" w:customStyle="1" w:styleId="ListLabel237">
    <w:name w:val="ListLabel 237"/>
    <w:qFormat/>
    <w:rPr>
      <w:rFonts w:ascii="Calibri" w:hAnsi="Calibri" w:cs="Garamond"/>
      <w:b/>
      <w:bCs/>
      <w:sz w:val="24"/>
    </w:rPr>
  </w:style>
  <w:style w:type="character" w:customStyle="1" w:styleId="ListLabel238">
    <w:name w:val="ListLabel 238"/>
    <w:qFormat/>
    <w:rPr>
      <w:rFonts w:cs="Garamond"/>
      <w:b/>
      <w:bCs/>
    </w:rPr>
  </w:style>
  <w:style w:type="character" w:customStyle="1" w:styleId="ListLabel239">
    <w:name w:val="ListLabel 239"/>
    <w:qFormat/>
    <w:rPr>
      <w:rFonts w:cs="Garamond"/>
      <w:b/>
      <w:bCs/>
    </w:rPr>
  </w:style>
  <w:style w:type="character" w:customStyle="1" w:styleId="ListLabel240">
    <w:name w:val="ListLabel 240"/>
    <w:qFormat/>
    <w:rPr>
      <w:rFonts w:cs="Garamond"/>
      <w:b/>
      <w:bCs/>
    </w:rPr>
  </w:style>
  <w:style w:type="character" w:customStyle="1" w:styleId="ListLabel241">
    <w:name w:val="ListLabel 241"/>
    <w:qFormat/>
    <w:rPr>
      <w:rFonts w:cs="Garamond"/>
      <w:b/>
      <w:bCs/>
    </w:rPr>
  </w:style>
  <w:style w:type="character" w:customStyle="1" w:styleId="ListLabel242">
    <w:name w:val="ListLabel 242"/>
    <w:qFormat/>
    <w:rPr>
      <w:rFonts w:cs="Garamond"/>
      <w:b/>
      <w:bCs/>
    </w:rPr>
  </w:style>
  <w:style w:type="character" w:customStyle="1" w:styleId="ListLabel243">
    <w:name w:val="ListLabel 243"/>
    <w:qFormat/>
    <w:rPr>
      <w:rFonts w:cs="Garamond"/>
      <w:b/>
      <w:bCs/>
    </w:rPr>
  </w:style>
  <w:style w:type="character" w:customStyle="1" w:styleId="ListLabel244">
    <w:name w:val="ListLabel 244"/>
    <w:qFormat/>
    <w:rPr>
      <w:rFonts w:cs="Garamond"/>
      <w:b/>
      <w:bCs/>
    </w:rPr>
  </w:style>
  <w:style w:type="character" w:customStyle="1" w:styleId="ListLabel245">
    <w:name w:val="ListLabel 245"/>
    <w:qFormat/>
    <w:rPr>
      <w:rFonts w:cs="Garamond"/>
      <w:b/>
      <w:bCs/>
    </w:rPr>
  </w:style>
  <w:style w:type="character" w:customStyle="1" w:styleId="ListLabel246">
    <w:name w:val="ListLabel 246"/>
    <w:qFormat/>
    <w:rPr>
      <w:rFonts w:ascii="Calibri" w:hAnsi="Calibri" w:cs="Garamond"/>
      <w:b/>
      <w:bCs/>
      <w:sz w:val="24"/>
    </w:rPr>
  </w:style>
  <w:style w:type="character" w:customStyle="1" w:styleId="ListLabel247">
    <w:name w:val="ListLabel 247"/>
    <w:qFormat/>
    <w:rPr>
      <w:rFonts w:cs="Garamond"/>
      <w:b/>
      <w:bCs/>
    </w:rPr>
  </w:style>
  <w:style w:type="character" w:customStyle="1" w:styleId="ListLabel248">
    <w:name w:val="ListLabel 248"/>
    <w:qFormat/>
    <w:rPr>
      <w:rFonts w:cs="Garamond"/>
      <w:b/>
      <w:bCs/>
    </w:rPr>
  </w:style>
  <w:style w:type="character" w:customStyle="1" w:styleId="ListLabel249">
    <w:name w:val="ListLabel 249"/>
    <w:qFormat/>
    <w:rPr>
      <w:rFonts w:cs="Garamond"/>
      <w:b/>
      <w:bCs/>
    </w:rPr>
  </w:style>
  <w:style w:type="character" w:customStyle="1" w:styleId="ListLabel250">
    <w:name w:val="ListLabel 250"/>
    <w:qFormat/>
    <w:rPr>
      <w:rFonts w:cs="Garamond"/>
      <w:b/>
      <w:bCs/>
    </w:rPr>
  </w:style>
  <w:style w:type="character" w:customStyle="1" w:styleId="ListLabel251">
    <w:name w:val="ListLabel 251"/>
    <w:qFormat/>
    <w:rPr>
      <w:rFonts w:cs="Garamond"/>
      <w:b/>
      <w:bCs/>
    </w:rPr>
  </w:style>
  <w:style w:type="character" w:customStyle="1" w:styleId="ListLabel252">
    <w:name w:val="ListLabel 252"/>
    <w:qFormat/>
    <w:rPr>
      <w:rFonts w:cs="Garamond"/>
      <w:b/>
      <w:bCs/>
    </w:rPr>
  </w:style>
  <w:style w:type="character" w:customStyle="1" w:styleId="ListLabel253">
    <w:name w:val="ListLabel 253"/>
    <w:qFormat/>
    <w:rPr>
      <w:rFonts w:cs="Garamond"/>
      <w:b/>
      <w:bCs/>
    </w:rPr>
  </w:style>
  <w:style w:type="character" w:customStyle="1" w:styleId="ListLabel254">
    <w:name w:val="ListLabel 254"/>
    <w:qFormat/>
    <w:rPr>
      <w:rFonts w:cs="Garamond"/>
      <w:b/>
      <w:bCs/>
    </w:rPr>
  </w:style>
  <w:style w:type="character" w:customStyle="1" w:styleId="ListLabel255">
    <w:name w:val="ListLabel 255"/>
    <w:qFormat/>
    <w:rPr>
      <w:rFonts w:ascii="Calibri" w:hAnsi="Calibri" w:cs="Garamond"/>
      <w:b/>
      <w:bCs/>
      <w:sz w:val="24"/>
    </w:rPr>
  </w:style>
  <w:style w:type="character" w:customStyle="1" w:styleId="ListLabel256">
    <w:name w:val="ListLabel 256"/>
    <w:qFormat/>
    <w:rPr>
      <w:rFonts w:cs="Garamond"/>
      <w:b/>
      <w:bCs/>
    </w:rPr>
  </w:style>
  <w:style w:type="character" w:customStyle="1" w:styleId="ListLabel257">
    <w:name w:val="ListLabel 257"/>
    <w:qFormat/>
    <w:rPr>
      <w:rFonts w:cs="Garamond"/>
      <w:b/>
      <w:bCs/>
    </w:rPr>
  </w:style>
  <w:style w:type="character" w:customStyle="1" w:styleId="ListLabel258">
    <w:name w:val="ListLabel 258"/>
    <w:qFormat/>
    <w:rPr>
      <w:rFonts w:cs="Garamond"/>
      <w:b/>
      <w:bCs/>
    </w:rPr>
  </w:style>
  <w:style w:type="character" w:customStyle="1" w:styleId="ListLabel259">
    <w:name w:val="ListLabel 259"/>
    <w:qFormat/>
    <w:rPr>
      <w:rFonts w:cs="Garamond"/>
      <w:b/>
      <w:bCs/>
    </w:rPr>
  </w:style>
  <w:style w:type="character" w:customStyle="1" w:styleId="ListLabel260">
    <w:name w:val="ListLabel 260"/>
    <w:qFormat/>
    <w:rPr>
      <w:rFonts w:cs="Garamond"/>
      <w:b/>
      <w:bCs/>
    </w:rPr>
  </w:style>
  <w:style w:type="character" w:customStyle="1" w:styleId="ListLabel261">
    <w:name w:val="ListLabel 261"/>
    <w:qFormat/>
    <w:rPr>
      <w:rFonts w:cs="Garamond"/>
      <w:b/>
      <w:bCs/>
    </w:rPr>
  </w:style>
  <w:style w:type="character" w:customStyle="1" w:styleId="ListLabel262">
    <w:name w:val="ListLabel 262"/>
    <w:qFormat/>
    <w:rPr>
      <w:rFonts w:cs="Garamond"/>
      <w:b/>
      <w:bCs/>
    </w:rPr>
  </w:style>
  <w:style w:type="character" w:customStyle="1" w:styleId="ListLabel263">
    <w:name w:val="ListLabel 263"/>
    <w:qFormat/>
    <w:rPr>
      <w:rFonts w:cs="Garamond"/>
      <w:b/>
      <w:bCs/>
    </w:rPr>
  </w:style>
  <w:style w:type="character" w:customStyle="1" w:styleId="ListLabel264">
    <w:name w:val="ListLabel 264"/>
    <w:qFormat/>
    <w:rPr>
      <w:rFonts w:ascii="Calibri" w:hAnsi="Calibri" w:cs="Garamond"/>
      <w:b/>
      <w:bCs/>
      <w:sz w:val="24"/>
    </w:rPr>
  </w:style>
  <w:style w:type="character" w:customStyle="1" w:styleId="ListLabel265">
    <w:name w:val="ListLabel 265"/>
    <w:qFormat/>
    <w:rPr>
      <w:rFonts w:cs="Garamond"/>
      <w:b/>
      <w:bCs/>
    </w:rPr>
  </w:style>
  <w:style w:type="character" w:customStyle="1" w:styleId="ListLabel266">
    <w:name w:val="ListLabel 266"/>
    <w:qFormat/>
    <w:rPr>
      <w:rFonts w:cs="Garamond"/>
      <w:b/>
      <w:bCs/>
    </w:rPr>
  </w:style>
  <w:style w:type="character" w:customStyle="1" w:styleId="ListLabel267">
    <w:name w:val="ListLabel 267"/>
    <w:qFormat/>
    <w:rPr>
      <w:rFonts w:cs="Garamond"/>
      <w:b/>
      <w:bCs/>
    </w:rPr>
  </w:style>
  <w:style w:type="character" w:customStyle="1" w:styleId="ListLabel268">
    <w:name w:val="ListLabel 268"/>
    <w:qFormat/>
    <w:rPr>
      <w:rFonts w:cs="Garamond"/>
      <w:b/>
      <w:bCs/>
    </w:rPr>
  </w:style>
  <w:style w:type="character" w:customStyle="1" w:styleId="ListLabel269">
    <w:name w:val="ListLabel 269"/>
    <w:qFormat/>
    <w:rPr>
      <w:rFonts w:cs="Garamond"/>
      <w:b/>
      <w:bCs/>
    </w:rPr>
  </w:style>
  <w:style w:type="character" w:customStyle="1" w:styleId="ListLabel270">
    <w:name w:val="ListLabel 270"/>
    <w:qFormat/>
    <w:rPr>
      <w:rFonts w:cs="Garamond"/>
      <w:b/>
      <w:bCs/>
    </w:rPr>
  </w:style>
  <w:style w:type="character" w:customStyle="1" w:styleId="ListLabel271">
    <w:name w:val="ListLabel 271"/>
    <w:qFormat/>
    <w:rPr>
      <w:rFonts w:cs="Garamond"/>
      <w:b/>
      <w:bCs/>
    </w:rPr>
  </w:style>
  <w:style w:type="character" w:customStyle="1" w:styleId="ListLabel272">
    <w:name w:val="ListLabel 272"/>
    <w:qFormat/>
    <w:rPr>
      <w:rFonts w:cs="Garamond"/>
      <w:b/>
      <w:bCs/>
    </w:rPr>
  </w:style>
  <w:style w:type="character" w:customStyle="1" w:styleId="ListLabel273">
    <w:name w:val="ListLabel 273"/>
    <w:qFormat/>
    <w:rPr>
      <w:rFonts w:ascii="Calibri" w:hAnsi="Calibri" w:cs="Garamond"/>
      <w:b/>
      <w:bCs/>
      <w:sz w:val="24"/>
    </w:rPr>
  </w:style>
  <w:style w:type="character" w:customStyle="1" w:styleId="ListLabel274">
    <w:name w:val="ListLabel 274"/>
    <w:qFormat/>
    <w:rPr>
      <w:rFonts w:cs="Garamond"/>
      <w:b/>
      <w:bCs/>
    </w:rPr>
  </w:style>
  <w:style w:type="character" w:customStyle="1" w:styleId="ListLabel275">
    <w:name w:val="ListLabel 275"/>
    <w:qFormat/>
    <w:rPr>
      <w:rFonts w:cs="Garamond"/>
      <w:b/>
      <w:bCs/>
    </w:rPr>
  </w:style>
  <w:style w:type="character" w:customStyle="1" w:styleId="ListLabel276">
    <w:name w:val="ListLabel 276"/>
    <w:qFormat/>
    <w:rPr>
      <w:rFonts w:cs="Garamond"/>
      <w:b/>
      <w:bCs/>
    </w:rPr>
  </w:style>
  <w:style w:type="character" w:customStyle="1" w:styleId="ListLabel277">
    <w:name w:val="ListLabel 277"/>
    <w:qFormat/>
    <w:rPr>
      <w:rFonts w:cs="Garamond"/>
      <w:b/>
      <w:bCs/>
    </w:rPr>
  </w:style>
  <w:style w:type="character" w:customStyle="1" w:styleId="ListLabel278">
    <w:name w:val="ListLabel 278"/>
    <w:qFormat/>
    <w:rPr>
      <w:rFonts w:cs="Garamond"/>
      <w:b/>
      <w:bCs/>
    </w:rPr>
  </w:style>
  <w:style w:type="character" w:customStyle="1" w:styleId="ListLabel279">
    <w:name w:val="ListLabel 279"/>
    <w:qFormat/>
    <w:rPr>
      <w:rFonts w:cs="Garamond"/>
      <w:b/>
      <w:bCs/>
    </w:rPr>
  </w:style>
  <w:style w:type="character" w:customStyle="1" w:styleId="ListLabel280">
    <w:name w:val="ListLabel 280"/>
    <w:qFormat/>
    <w:rPr>
      <w:rFonts w:cs="Garamond"/>
      <w:b/>
      <w:bCs/>
    </w:rPr>
  </w:style>
  <w:style w:type="character" w:customStyle="1" w:styleId="ListLabel281">
    <w:name w:val="ListLabel 281"/>
    <w:qFormat/>
    <w:rPr>
      <w:rFonts w:cs="Garamond"/>
      <w:b/>
      <w:bCs/>
    </w:rPr>
  </w:style>
  <w:style w:type="character" w:customStyle="1" w:styleId="ListLabel282">
    <w:name w:val="ListLabel 282"/>
    <w:qFormat/>
    <w:rPr>
      <w:rFonts w:ascii="Calibri" w:hAnsi="Calibri" w:cs="Garamond"/>
      <w:b/>
      <w:bCs/>
      <w:sz w:val="24"/>
    </w:rPr>
  </w:style>
  <w:style w:type="character" w:customStyle="1" w:styleId="ListLabel283">
    <w:name w:val="ListLabel 283"/>
    <w:qFormat/>
    <w:rPr>
      <w:rFonts w:cs="Garamond"/>
      <w:b/>
      <w:bCs/>
    </w:rPr>
  </w:style>
  <w:style w:type="character" w:customStyle="1" w:styleId="ListLabel284">
    <w:name w:val="ListLabel 284"/>
    <w:qFormat/>
    <w:rPr>
      <w:rFonts w:cs="Garamond"/>
      <w:b/>
      <w:bCs/>
    </w:rPr>
  </w:style>
  <w:style w:type="character" w:customStyle="1" w:styleId="ListLabel285">
    <w:name w:val="ListLabel 285"/>
    <w:qFormat/>
    <w:rPr>
      <w:rFonts w:cs="Garamond"/>
      <w:b/>
      <w:bCs/>
    </w:rPr>
  </w:style>
  <w:style w:type="character" w:customStyle="1" w:styleId="ListLabel286">
    <w:name w:val="ListLabel 286"/>
    <w:qFormat/>
    <w:rPr>
      <w:rFonts w:cs="Garamond"/>
      <w:b/>
      <w:bCs/>
    </w:rPr>
  </w:style>
  <w:style w:type="character" w:customStyle="1" w:styleId="ListLabel287">
    <w:name w:val="ListLabel 287"/>
    <w:qFormat/>
    <w:rPr>
      <w:rFonts w:cs="Garamond"/>
      <w:b/>
      <w:bCs/>
    </w:rPr>
  </w:style>
  <w:style w:type="character" w:customStyle="1" w:styleId="ListLabel288">
    <w:name w:val="ListLabel 288"/>
    <w:qFormat/>
    <w:rPr>
      <w:rFonts w:cs="Garamond"/>
      <w:b/>
      <w:bCs/>
    </w:rPr>
  </w:style>
  <w:style w:type="character" w:customStyle="1" w:styleId="ListLabel289">
    <w:name w:val="ListLabel 289"/>
    <w:qFormat/>
    <w:rPr>
      <w:rFonts w:cs="Garamond"/>
      <w:b/>
      <w:bCs/>
    </w:rPr>
  </w:style>
  <w:style w:type="character" w:customStyle="1" w:styleId="ListLabel290">
    <w:name w:val="ListLabel 290"/>
    <w:qFormat/>
    <w:rPr>
      <w:rFonts w:cs="Garamond"/>
      <w:b/>
      <w:bCs/>
    </w:rPr>
  </w:style>
  <w:style w:type="character" w:customStyle="1" w:styleId="ListLabel291">
    <w:name w:val="ListLabel 291"/>
    <w:qFormat/>
    <w:rPr>
      <w:rFonts w:ascii="Calibri" w:hAnsi="Calibri" w:cs="Garamond"/>
      <w:b/>
      <w:bCs/>
      <w:sz w:val="24"/>
    </w:rPr>
  </w:style>
  <w:style w:type="character" w:customStyle="1" w:styleId="ListLabel292">
    <w:name w:val="ListLabel 292"/>
    <w:qFormat/>
    <w:rPr>
      <w:rFonts w:cs="Garamond"/>
      <w:b/>
      <w:bCs/>
    </w:rPr>
  </w:style>
  <w:style w:type="character" w:customStyle="1" w:styleId="ListLabel293">
    <w:name w:val="ListLabel 293"/>
    <w:qFormat/>
    <w:rPr>
      <w:rFonts w:cs="Garamond"/>
      <w:b/>
      <w:bCs/>
    </w:rPr>
  </w:style>
  <w:style w:type="character" w:customStyle="1" w:styleId="ListLabel294">
    <w:name w:val="ListLabel 294"/>
    <w:qFormat/>
    <w:rPr>
      <w:rFonts w:cs="Garamond"/>
      <w:b/>
      <w:bCs/>
    </w:rPr>
  </w:style>
  <w:style w:type="character" w:customStyle="1" w:styleId="ListLabel295">
    <w:name w:val="ListLabel 295"/>
    <w:qFormat/>
    <w:rPr>
      <w:rFonts w:cs="Garamond"/>
      <w:b/>
      <w:bCs/>
    </w:rPr>
  </w:style>
  <w:style w:type="character" w:customStyle="1" w:styleId="ListLabel296">
    <w:name w:val="ListLabel 296"/>
    <w:qFormat/>
    <w:rPr>
      <w:rFonts w:cs="Garamond"/>
      <w:b/>
      <w:bCs/>
    </w:rPr>
  </w:style>
  <w:style w:type="character" w:customStyle="1" w:styleId="ListLabel297">
    <w:name w:val="ListLabel 297"/>
    <w:qFormat/>
    <w:rPr>
      <w:rFonts w:cs="Garamond"/>
      <w:b/>
      <w:bCs/>
    </w:rPr>
  </w:style>
  <w:style w:type="character" w:customStyle="1" w:styleId="ListLabel298">
    <w:name w:val="ListLabel 298"/>
    <w:qFormat/>
    <w:rPr>
      <w:rFonts w:cs="Garamond"/>
      <w:b/>
      <w:bCs/>
    </w:rPr>
  </w:style>
  <w:style w:type="character" w:customStyle="1" w:styleId="ListLabel299">
    <w:name w:val="ListLabel 299"/>
    <w:qFormat/>
    <w:rPr>
      <w:rFonts w:cs="Garamond"/>
      <w:b/>
      <w:bCs/>
    </w:rPr>
  </w:style>
  <w:style w:type="character" w:customStyle="1" w:styleId="ListLabel300">
    <w:name w:val="ListLabel 300"/>
    <w:qFormat/>
    <w:rPr>
      <w:rFonts w:ascii="Calibri" w:hAnsi="Calibri" w:cs="Garamond"/>
      <w:b/>
      <w:bCs/>
      <w:sz w:val="24"/>
    </w:rPr>
  </w:style>
  <w:style w:type="character" w:customStyle="1" w:styleId="ListLabel301">
    <w:name w:val="ListLabel 301"/>
    <w:qFormat/>
    <w:rPr>
      <w:rFonts w:cs="Garamond"/>
      <w:b/>
      <w:bCs/>
    </w:rPr>
  </w:style>
  <w:style w:type="character" w:customStyle="1" w:styleId="ListLabel302">
    <w:name w:val="ListLabel 302"/>
    <w:qFormat/>
    <w:rPr>
      <w:rFonts w:cs="Garamond"/>
      <w:b/>
      <w:bCs/>
    </w:rPr>
  </w:style>
  <w:style w:type="character" w:customStyle="1" w:styleId="ListLabel303">
    <w:name w:val="ListLabel 303"/>
    <w:qFormat/>
    <w:rPr>
      <w:rFonts w:cs="Garamond"/>
      <w:b/>
      <w:bCs/>
    </w:rPr>
  </w:style>
  <w:style w:type="character" w:customStyle="1" w:styleId="ListLabel304">
    <w:name w:val="ListLabel 304"/>
    <w:qFormat/>
    <w:rPr>
      <w:rFonts w:cs="Garamond"/>
      <w:b/>
      <w:bCs/>
    </w:rPr>
  </w:style>
  <w:style w:type="character" w:customStyle="1" w:styleId="ListLabel305">
    <w:name w:val="ListLabel 305"/>
    <w:qFormat/>
    <w:rPr>
      <w:rFonts w:cs="Garamond"/>
      <w:b/>
      <w:bCs/>
    </w:rPr>
  </w:style>
  <w:style w:type="character" w:customStyle="1" w:styleId="ListLabel306">
    <w:name w:val="ListLabel 306"/>
    <w:qFormat/>
    <w:rPr>
      <w:rFonts w:cs="Garamond"/>
      <w:b/>
      <w:bCs/>
    </w:rPr>
  </w:style>
  <w:style w:type="character" w:customStyle="1" w:styleId="ListLabel307">
    <w:name w:val="ListLabel 307"/>
    <w:qFormat/>
    <w:rPr>
      <w:rFonts w:cs="Garamond"/>
      <w:b/>
      <w:bCs/>
    </w:rPr>
  </w:style>
  <w:style w:type="character" w:customStyle="1" w:styleId="ListLabel308">
    <w:name w:val="ListLabel 308"/>
    <w:qFormat/>
    <w:rPr>
      <w:rFonts w:cs="Garamond"/>
      <w:b/>
      <w:bCs/>
    </w:rPr>
  </w:style>
  <w:style w:type="character" w:customStyle="1" w:styleId="ListLabel309">
    <w:name w:val="ListLabel 309"/>
    <w:qFormat/>
    <w:rPr>
      <w:rFonts w:ascii="Calibri" w:hAnsi="Calibri" w:cs="Garamond"/>
      <w:b/>
      <w:bCs/>
      <w:sz w:val="24"/>
    </w:rPr>
  </w:style>
  <w:style w:type="character" w:customStyle="1" w:styleId="ListLabel310">
    <w:name w:val="ListLabel 310"/>
    <w:qFormat/>
    <w:rPr>
      <w:rFonts w:cs="Garamond"/>
      <w:b/>
      <w:bCs/>
    </w:rPr>
  </w:style>
  <w:style w:type="character" w:customStyle="1" w:styleId="ListLabel311">
    <w:name w:val="ListLabel 311"/>
    <w:qFormat/>
    <w:rPr>
      <w:rFonts w:cs="Garamond"/>
      <w:b/>
      <w:bCs/>
    </w:rPr>
  </w:style>
  <w:style w:type="character" w:customStyle="1" w:styleId="ListLabel312">
    <w:name w:val="ListLabel 312"/>
    <w:qFormat/>
    <w:rPr>
      <w:rFonts w:cs="Garamond"/>
      <w:b/>
      <w:bCs/>
    </w:rPr>
  </w:style>
  <w:style w:type="character" w:customStyle="1" w:styleId="ListLabel313">
    <w:name w:val="ListLabel 313"/>
    <w:qFormat/>
    <w:rPr>
      <w:rFonts w:cs="Garamond"/>
      <w:b/>
      <w:bCs/>
    </w:rPr>
  </w:style>
  <w:style w:type="character" w:customStyle="1" w:styleId="ListLabel314">
    <w:name w:val="ListLabel 314"/>
    <w:qFormat/>
    <w:rPr>
      <w:rFonts w:cs="Garamond"/>
      <w:b/>
      <w:bCs/>
    </w:rPr>
  </w:style>
  <w:style w:type="character" w:customStyle="1" w:styleId="ListLabel315">
    <w:name w:val="ListLabel 315"/>
    <w:qFormat/>
    <w:rPr>
      <w:rFonts w:cs="Garamond"/>
      <w:b/>
      <w:bCs/>
    </w:rPr>
  </w:style>
  <w:style w:type="character" w:customStyle="1" w:styleId="ListLabel316">
    <w:name w:val="ListLabel 316"/>
    <w:qFormat/>
    <w:rPr>
      <w:rFonts w:cs="Garamond"/>
      <w:b/>
      <w:bCs/>
    </w:rPr>
  </w:style>
  <w:style w:type="character" w:customStyle="1" w:styleId="ListLabel317">
    <w:name w:val="ListLabel 317"/>
    <w:qFormat/>
    <w:rPr>
      <w:rFonts w:cs="Garamond"/>
      <w:b/>
      <w:bCs/>
    </w:rPr>
  </w:style>
  <w:style w:type="character" w:customStyle="1" w:styleId="ListLabel318">
    <w:name w:val="ListLabel 318"/>
    <w:qFormat/>
    <w:rPr>
      <w:rFonts w:ascii="Calibri" w:hAnsi="Calibri" w:cs="Garamond"/>
      <w:b/>
      <w:bCs/>
      <w:sz w:val="24"/>
    </w:rPr>
  </w:style>
  <w:style w:type="character" w:customStyle="1" w:styleId="ListLabel319">
    <w:name w:val="ListLabel 319"/>
    <w:qFormat/>
    <w:rPr>
      <w:rFonts w:ascii="Calibri" w:hAnsi="Calibri" w:cs="Garamond"/>
      <w:b/>
      <w:bCs/>
      <w:sz w:val="24"/>
    </w:rPr>
  </w:style>
  <w:style w:type="character" w:customStyle="1" w:styleId="ListLabel320">
    <w:name w:val="ListLabel 320"/>
    <w:qFormat/>
    <w:rPr>
      <w:rFonts w:cs="Garamond"/>
      <w:b/>
      <w:bCs/>
    </w:rPr>
  </w:style>
  <w:style w:type="character" w:customStyle="1" w:styleId="ListLabel321">
    <w:name w:val="ListLabel 321"/>
    <w:qFormat/>
    <w:rPr>
      <w:rFonts w:cs="Garamond"/>
      <w:b/>
      <w:bCs/>
    </w:rPr>
  </w:style>
  <w:style w:type="character" w:customStyle="1" w:styleId="ListLabel322">
    <w:name w:val="ListLabel 322"/>
    <w:qFormat/>
    <w:rPr>
      <w:rFonts w:cs="Garamond"/>
      <w:b/>
      <w:bCs/>
    </w:rPr>
  </w:style>
  <w:style w:type="character" w:customStyle="1" w:styleId="ListLabel323">
    <w:name w:val="ListLabel 323"/>
    <w:qFormat/>
    <w:rPr>
      <w:rFonts w:cs="Garamond"/>
      <w:b/>
      <w:bCs/>
    </w:rPr>
  </w:style>
  <w:style w:type="character" w:customStyle="1" w:styleId="ListLabel324">
    <w:name w:val="ListLabel 324"/>
    <w:qFormat/>
    <w:rPr>
      <w:rFonts w:cs="Garamond"/>
      <w:b/>
      <w:bCs/>
    </w:rPr>
  </w:style>
  <w:style w:type="character" w:customStyle="1" w:styleId="ListLabel325">
    <w:name w:val="ListLabel 325"/>
    <w:qFormat/>
    <w:rPr>
      <w:rFonts w:cs="Garamond"/>
      <w:b/>
      <w:bCs/>
    </w:rPr>
  </w:style>
  <w:style w:type="character" w:customStyle="1" w:styleId="ListLabel326">
    <w:name w:val="ListLabel 326"/>
    <w:qFormat/>
    <w:rPr>
      <w:rFonts w:cs="Garamond"/>
      <w:b/>
      <w:bCs/>
    </w:rPr>
  </w:style>
  <w:style w:type="character" w:customStyle="1" w:styleId="ListLabel327">
    <w:name w:val="ListLabel 327"/>
    <w:qFormat/>
    <w:rPr>
      <w:rFonts w:ascii="Calibri" w:hAnsi="Calibri" w:cs="Garamond"/>
      <w:b/>
      <w:bCs/>
      <w:sz w:val="24"/>
    </w:rPr>
  </w:style>
  <w:style w:type="character" w:customStyle="1" w:styleId="ListLabel328">
    <w:name w:val="ListLabel 328"/>
    <w:qFormat/>
    <w:rPr>
      <w:rFonts w:cs="Garamond"/>
      <w:b/>
      <w:bCs/>
    </w:rPr>
  </w:style>
  <w:style w:type="character" w:customStyle="1" w:styleId="ListLabel329">
    <w:name w:val="ListLabel 329"/>
    <w:qFormat/>
    <w:rPr>
      <w:rFonts w:cs="Garamond"/>
      <w:b/>
      <w:bCs/>
    </w:rPr>
  </w:style>
  <w:style w:type="character" w:customStyle="1" w:styleId="ListLabel330">
    <w:name w:val="ListLabel 330"/>
    <w:qFormat/>
    <w:rPr>
      <w:rFonts w:cs="Garamond"/>
      <w:b/>
      <w:bCs/>
    </w:rPr>
  </w:style>
  <w:style w:type="character" w:customStyle="1" w:styleId="ListLabel331">
    <w:name w:val="ListLabel 331"/>
    <w:qFormat/>
    <w:rPr>
      <w:rFonts w:cs="Garamond"/>
      <w:b/>
      <w:bCs/>
    </w:rPr>
  </w:style>
  <w:style w:type="character" w:customStyle="1" w:styleId="ListLabel332">
    <w:name w:val="ListLabel 332"/>
    <w:qFormat/>
    <w:rPr>
      <w:rFonts w:cs="Garamond"/>
      <w:b/>
      <w:bCs/>
    </w:rPr>
  </w:style>
  <w:style w:type="character" w:customStyle="1" w:styleId="ListLabel333">
    <w:name w:val="ListLabel 333"/>
    <w:qFormat/>
    <w:rPr>
      <w:rFonts w:cs="Garamond"/>
      <w:b/>
      <w:bCs/>
    </w:rPr>
  </w:style>
  <w:style w:type="character" w:customStyle="1" w:styleId="ListLabel334">
    <w:name w:val="ListLabel 334"/>
    <w:qFormat/>
    <w:rPr>
      <w:rFonts w:cs="Garamond"/>
      <w:b/>
      <w:bCs/>
    </w:rPr>
  </w:style>
  <w:style w:type="character" w:customStyle="1" w:styleId="ListLabel335">
    <w:name w:val="ListLabel 335"/>
    <w:qFormat/>
    <w:rPr>
      <w:rFonts w:cs="Garamond"/>
      <w:b/>
      <w:bCs/>
    </w:rPr>
  </w:style>
  <w:style w:type="character" w:customStyle="1" w:styleId="ListLabel336">
    <w:name w:val="ListLabel 336"/>
    <w:qFormat/>
    <w:rPr>
      <w:rFonts w:ascii="Calibri" w:hAnsi="Calibri" w:cs="Garamond"/>
      <w:b/>
      <w:bCs/>
      <w:sz w:val="24"/>
    </w:rPr>
  </w:style>
  <w:style w:type="character" w:customStyle="1" w:styleId="ListLabel337">
    <w:name w:val="ListLabel 337"/>
    <w:qFormat/>
    <w:rPr>
      <w:rFonts w:ascii="Calibri" w:hAnsi="Calibri" w:cs="Garamond"/>
      <w:b/>
      <w:bCs/>
      <w:sz w:val="24"/>
    </w:rPr>
  </w:style>
  <w:style w:type="character" w:customStyle="1" w:styleId="ListLabel338">
    <w:name w:val="ListLabel 338"/>
    <w:qFormat/>
    <w:rPr>
      <w:rFonts w:cs="Garamond"/>
      <w:b/>
      <w:bCs/>
    </w:rPr>
  </w:style>
  <w:style w:type="character" w:customStyle="1" w:styleId="ListLabel339">
    <w:name w:val="ListLabel 339"/>
    <w:qFormat/>
    <w:rPr>
      <w:rFonts w:cs="Garamond"/>
      <w:b/>
      <w:bCs/>
    </w:rPr>
  </w:style>
  <w:style w:type="character" w:customStyle="1" w:styleId="ListLabel340">
    <w:name w:val="ListLabel 340"/>
    <w:qFormat/>
    <w:rPr>
      <w:rFonts w:cs="Garamond"/>
      <w:b/>
      <w:bCs/>
    </w:rPr>
  </w:style>
  <w:style w:type="character" w:customStyle="1" w:styleId="ListLabel341">
    <w:name w:val="ListLabel 341"/>
    <w:qFormat/>
    <w:rPr>
      <w:rFonts w:cs="Garamond"/>
      <w:b/>
      <w:bCs/>
    </w:rPr>
  </w:style>
  <w:style w:type="character" w:customStyle="1" w:styleId="ListLabel342">
    <w:name w:val="ListLabel 342"/>
    <w:qFormat/>
    <w:rPr>
      <w:rFonts w:cs="Garamond"/>
      <w:b/>
      <w:bCs/>
    </w:rPr>
  </w:style>
  <w:style w:type="character" w:customStyle="1" w:styleId="ListLabel343">
    <w:name w:val="ListLabel 343"/>
    <w:qFormat/>
    <w:rPr>
      <w:rFonts w:cs="Garamond"/>
      <w:b/>
      <w:bCs/>
    </w:rPr>
  </w:style>
  <w:style w:type="character" w:customStyle="1" w:styleId="ListLabel344">
    <w:name w:val="ListLabel 344"/>
    <w:qFormat/>
    <w:rPr>
      <w:rFonts w:cs="Garamond"/>
      <w:b/>
      <w:bCs/>
    </w:rPr>
  </w:style>
  <w:style w:type="character" w:customStyle="1" w:styleId="ListLabel345">
    <w:name w:val="ListLabel 345"/>
    <w:qFormat/>
    <w:rPr>
      <w:rFonts w:ascii="Calibri" w:hAnsi="Calibri" w:cs="Garamond"/>
      <w:b/>
      <w:bCs/>
      <w:sz w:val="24"/>
    </w:rPr>
  </w:style>
  <w:style w:type="character" w:customStyle="1" w:styleId="ListLabel346">
    <w:name w:val="ListLabel 346"/>
    <w:qFormat/>
    <w:rPr>
      <w:rFonts w:cs="Garamond"/>
      <w:b/>
      <w:bCs/>
    </w:rPr>
  </w:style>
  <w:style w:type="character" w:customStyle="1" w:styleId="ListLabel347">
    <w:name w:val="ListLabel 347"/>
    <w:qFormat/>
    <w:rPr>
      <w:rFonts w:cs="Garamond"/>
      <w:b/>
      <w:bCs/>
    </w:rPr>
  </w:style>
  <w:style w:type="character" w:customStyle="1" w:styleId="ListLabel348">
    <w:name w:val="ListLabel 348"/>
    <w:qFormat/>
    <w:rPr>
      <w:rFonts w:cs="Garamond"/>
      <w:b/>
      <w:bCs/>
    </w:rPr>
  </w:style>
  <w:style w:type="character" w:customStyle="1" w:styleId="ListLabel349">
    <w:name w:val="ListLabel 349"/>
    <w:qFormat/>
    <w:rPr>
      <w:rFonts w:cs="Garamond"/>
      <w:b/>
      <w:bCs/>
    </w:rPr>
  </w:style>
  <w:style w:type="character" w:customStyle="1" w:styleId="ListLabel350">
    <w:name w:val="ListLabel 350"/>
    <w:qFormat/>
    <w:rPr>
      <w:rFonts w:cs="Garamond"/>
      <w:b/>
      <w:bCs/>
    </w:rPr>
  </w:style>
  <w:style w:type="character" w:customStyle="1" w:styleId="ListLabel351">
    <w:name w:val="ListLabel 351"/>
    <w:qFormat/>
    <w:rPr>
      <w:rFonts w:cs="Garamond"/>
      <w:b/>
      <w:bCs/>
    </w:rPr>
  </w:style>
  <w:style w:type="character" w:customStyle="1" w:styleId="ListLabel352">
    <w:name w:val="ListLabel 352"/>
    <w:qFormat/>
    <w:rPr>
      <w:rFonts w:cs="Garamond"/>
      <w:b/>
      <w:bCs/>
    </w:rPr>
  </w:style>
  <w:style w:type="character" w:customStyle="1" w:styleId="ListLabel353">
    <w:name w:val="ListLabel 353"/>
    <w:qFormat/>
    <w:rPr>
      <w:rFonts w:cs="Garamond"/>
      <w:b/>
      <w:bCs/>
    </w:rPr>
  </w:style>
  <w:style w:type="character" w:customStyle="1" w:styleId="ListLabel354">
    <w:name w:val="ListLabel 354"/>
    <w:qFormat/>
  </w:style>
  <w:style w:type="character" w:customStyle="1" w:styleId="ListLabel355">
    <w:name w:val="ListLabel 355"/>
    <w:qFormat/>
    <w:rPr>
      <w:rFonts w:ascii="Calibri" w:hAnsi="Calibri" w:cs="Garamond"/>
      <w:b/>
      <w:bCs/>
      <w:sz w:val="24"/>
    </w:rPr>
  </w:style>
  <w:style w:type="character" w:customStyle="1" w:styleId="ListLabel356">
    <w:name w:val="ListLabel 356"/>
    <w:qFormat/>
    <w:rPr>
      <w:rFonts w:cs="Garamond"/>
      <w:b/>
      <w:bCs/>
    </w:rPr>
  </w:style>
  <w:style w:type="character" w:customStyle="1" w:styleId="ListLabel357">
    <w:name w:val="ListLabel 357"/>
    <w:qFormat/>
    <w:rPr>
      <w:rFonts w:cs="Garamond"/>
      <w:b/>
      <w:bCs/>
    </w:rPr>
  </w:style>
  <w:style w:type="character" w:customStyle="1" w:styleId="ListLabel358">
    <w:name w:val="ListLabel 358"/>
    <w:qFormat/>
    <w:rPr>
      <w:rFonts w:cs="Garamond"/>
      <w:b/>
      <w:bCs/>
    </w:rPr>
  </w:style>
  <w:style w:type="character" w:customStyle="1" w:styleId="ListLabel359">
    <w:name w:val="ListLabel 359"/>
    <w:qFormat/>
    <w:rPr>
      <w:rFonts w:cs="Garamond"/>
      <w:b/>
      <w:bCs/>
    </w:rPr>
  </w:style>
  <w:style w:type="character" w:customStyle="1" w:styleId="ListLabel360">
    <w:name w:val="ListLabel 360"/>
    <w:qFormat/>
    <w:rPr>
      <w:rFonts w:cs="Garamond"/>
      <w:b/>
      <w:bCs/>
    </w:rPr>
  </w:style>
  <w:style w:type="character" w:customStyle="1" w:styleId="ListLabel361">
    <w:name w:val="ListLabel 361"/>
    <w:qFormat/>
    <w:rPr>
      <w:rFonts w:cs="Garamond"/>
      <w:b/>
      <w:bCs/>
    </w:rPr>
  </w:style>
  <w:style w:type="character" w:customStyle="1" w:styleId="ListLabel362">
    <w:name w:val="ListLabel 362"/>
    <w:qFormat/>
    <w:rPr>
      <w:rFonts w:cs="Garamond"/>
      <w:b/>
      <w:bCs/>
    </w:rPr>
  </w:style>
  <w:style w:type="character" w:customStyle="1" w:styleId="ListLabel363">
    <w:name w:val="ListLabel 363"/>
    <w:qFormat/>
    <w:rPr>
      <w:rFonts w:cs="Garamond"/>
      <w:b/>
      <w:bCs/>
    </w:rPr>
  </w:style>
  <w:style w:type="character" w:customStyle="1" w:styleId="ListLabel364">
    <w:name w:val="ListLabel 364"/>
    <w:qFormat/>
    <w:rPr>
      <w:rFonts w:ascii="Calibri" w:hAnsi="Calibri" w:cs="Garamond"/>
      <w:b/>
      <w:bCs/>
      <w:sz w:val="24"/>
    </w:rPr>
  </w:style>
  <w:style w:type="character" w:customStyle="1" w:styleId="ListLabel365">
    <w:name w:val="ListLabel 365"/>
    <w:qFormat/>
    <w:rPr>
      <w:rFonts w:cs="Garamond"/>
      <w:b/>
      <w:bCs/>
    </w:rPr>
  </w:style>
  <w:style w:type="character" w:customStyle="1" w:styleId="ListLabel366">
    <w:name w:val="ListLabel 366"/>
    <w:qFormat/>
    <w:rPr>
      <w:rFonts w:cs="Garamond"/>
      <w:b/>
      <w:bCs/>
    </w:rPr>
  </w:style>
  <w:style w:type="character" w:customStyle="1" w:styleId="ListLabel367">
    <w:name w:val="ListLabel 367"/>
    <w:qFormat/>
    <w:rPr>
      <w:rFonts w:cs="Garamond"/>
      <w:b/>
      <w:bCs/>
    </w:rPr>
  </w:style>
  <w:style w:type="character" w:customStyle="1" w:styleId="ListLabel368">
    <w:name w:val="ListLabel 368"/>
    <w:qFormat/>
    <w:rPr>
      <w:rFonts w:cs="Garamond"/>
      <w:b/>
      <w:bCs/>
    </w:rPr>
  </w:style>
  <w:style w:type="character" w:customStyle="1" w:styleId="ListLabel369">
    <w:name w:val="ListLabel 369"/>
    <w:qFormat/>
    <w:rPr>
      <w:rFonts w:cs="Garamond"/>
      <w:b/>
      <w:bCs/>
    </w:rPr>
  </w:style>
  <w:style w:type="character" w:customStyle="1" w:styleId="ListLabel370">
    <w:name w:val="ListLabel 370"/>
    <w:qFormat/>
    <w:rPr>
      <w:rFonts w:cs="Garamond"/>
      <w:b/>
      <w:bCs/>
    </w:rPr>
  </w:style>
  <w:style w:type="character" w:customStyle="1" w:styleId="ListLabel371">
    <w:name w:val="ListLabel 371"/>
    <w:qFormat/>
    <w:rPr>
      <w:rFonts w:cs="Garamond"/>
      <w:b/>
      <w:bCs/>
    </w:rPr>
  </w:style>
  <w:style w:type="character" w:customStyle="1" w:styleId="ListLabel372">
    <w:name w:val="ListLabel 372"/>
    <w:qFormat/>
    <w:rPr>
      <w:rFonts w:cs="Garamond"/>
      <w:b/>
      <w:bCs/>
    </w:rPr>
  </w:style>
  <w:style w:type="character" w:customStyle="1" w:styleId="ListLabel373">
    <w:name w:val="ListLabel 373"/>
    <w:qFormat/>
    <w:rPr>
      <w:rFonts w:ascii="Calibri" w:hAnsi="Calibri" w:cs="Garamond"/>
      <w:b/>
      <w:bCs/>
      <w:sz w:val="24"/>
    </w:rPr>
  </w:style>
  <w:style w:type="character" w:customStyle="1" w:styleId="ListLabel374">
    <w:name w:val="ListLabel 374"/>
    <w:qFormat/>
    <w:rPr>
      <w:rFonts w:cs="Garamond"/>
      <w:b/>
      <w:bCs/>
    </w:rPr>
  </w:style>
  <w:style w:type="character" w:customStyle="1" w:styleId="ListLabel375">
    <w:name w:val="ListLabel 375"/>
    <w:qFormat/>
    <w:rPr>
      <w:rFonts w:cs="Garamond"/>
      <w:b/>
      <w:bCs/>
    </w:rPr>
  </w:style>
  <w:style w:type="character" w:customStyle="1" w:styleId="ListLabel376">
    <w:name w:val="ListLabel 376"/>
    <w:qFormat/>
    <w:rPr>
      <w:rFonts w:cs="Garamond"/>
      <w:b/>
      <w:bCs/>
    </w:rPr>
  </w:style>
  <w:style w:type="character" w:customStyle="1" w:styleId="ListLabel377">
    <w:name w:val="ListLabel 377"/>
    <w:qFormat/>
    <w:rPr>
      <w:rFonts w:cs="Garamond"/>
      <w:b/>
      <w:bCs/>
    </w:rPr>
  </w:style>
  <w:style w:type="character" w:customStyle="1" w:styleId="ListLabel378">
    <w:name w:val="ListLabel 378"/>
    <w:qFormat/>
    <w:rPr>
      <w:rFonts w:cs="Garamond"/>
      <w:b/>
      <w:bCs/>
    </w:rPr>
  </w:style>
  <w:style w:type="character" w:customStyle="1" w:styleId="ListLabel379">
    <w:name w:val="ListLabel 379"/>
    <w:qFormat/>
    <w:rPr>
      <w:rFonts w:cs="Garamond"/>
      <w:b/>
      <w:bCs/>
    </w:rPr>
  </w:style>
  <w:style w:type="character" w:customStyle="1" w:styleId="ListLabel380">
    <w:name w:val="ListLabel 380"/>
    <w:qFormat/>
    <w:rPr>
      <w:rFonts w:cs="Garamond"/>
      <w:b/>
      <w:bCs/>
    </w:rPr>
  </w:style>
  <w:style w:type="character" w:customStyle="1" w:styleId="ListLabel381">
    <w:name w:val="ListLabel 381"/>
    <w:qFormat/>
    <w:rPr>
      <w:rFonts w:cs="Garamond"/>
      <w:b/>
      <w:bCs/>
    </w:rPr>
  </w:style>
  <w:style w:type="character" w:customStyle="1" w:styleId="ListLabel382">
    <w:name w:val="ListLabel 382"/>
    <w:qFormat/>
    <w:rPr>
      <w:rFonts w:ascii="Calibri" w:hAnsi="Calibri" w:cs="Garamond"/>
      <w:b/>
      <w:bCs/>
      <w:sz w:val="24"/>
    </w:rPr>
  </w:style>
  <w:style w:type="character" w:customStyle="1" w:styleId="ListLabel383">
    <w:name w:val="ListLabel 383"/>
    <w:qFormat/>
    <w:rPr>
      <w:rFonts w:cs="Garamond"/>
      <w:b/>
      <w:bCs/>
    </w:rPr>
  </w:style>
  <w:style w:type="character" w:customStyle="1" w:styleId="ListLabel384">
    <w:name w:val="ListLabel 384"/>
    <w:qFormat/>
    <w:rPr>
      <w:rFonts w:cs="Garamond"/>
      <w:b/>
      <w:bCs/>
    </w:rPr>
  </w:style>
  <w:style w:type="character" w:customStyle="1" w:styleId="ListLabel385">
    <w:name w:val="ListLabel 385"/>
    <w:qFormat/>
    <w:rPr>
      <w:rFonts w:cs="Garamond"/>
      <w:b/>
      <w:bCs/>
    </w:rPr>
  </w:style>
  <w:style w:type="character" w:customStyle="1" w:styleId="ListLabel386">
    <w:name w:val="ListLabel 386"/>
    <w:qFormat/>
    <w:rPr>
      <w:rFonts w:cs="Garamond"/>
      <w:b/>
      <w:bCs/>
    </w:rPr>
  </w:style>
  <w:style w:type="character" w:customStyle="1" w:styleId="ListLabel387">
    <w:name w:val="ListLabel 387"/>
    <w:qFormat/>
    <w:rPr>
      <w:rFonts w:cs="Garamond"/>
      <w:b/>
      <w:bCs/>
    </w:rPr>
  </w:style>
  <w:style w:type="character" w:customStyle="1" w:styleId="ListLabel388">
    <w:name w:val="ListLabel 388"/>
    <w:qFormat/>
    <w:rPr>
      <w:rFonts w:cs="Garamond"/>
      <w:b/>
      <w:bCs/>
    </w:rPr>
  </w:style>
  <w:style w:type="character" w:customStyle="1" w:styleId="ListLabel389">
    <w:name w:val="ListLabel 389"/>
    <w:qFormat/>
    <w:rPr>
      <w:rFonts w:cs="Garamond"/>
      <w:b/>
      <w:bCs/>
    </w:rPr>
  </w:style>
  <w:style w:type="character" w:customStyle="1" w:styleId="ListLabel390">
    <w:name w:val="ListLabel 390"/>
    <w:qFormat/>
    <w:rPr>
      <w:rFonts w:cs="Garamond"/>
      <w:b/>
      <w:bCs/>
    </w:rPr>
  </w:style>
  <w:style w:type="character" w:customStyle="1" w:styleId="ListLabel391">
    <w:name w:val="ListLabel 391"/>
    <w:qFormat/>
    <w:rPr>
      <w:rFonts w:ascii="Calibri" w:hAnsi="Calibri" w:cs="Garamond"/>
      <w:b/>
      <w:bCs/>
      <w:sz w:val="24"/>
    </w:rPr>
  </w:style>
  <w:style w:type="character" w:customStyle="1" w:styleId="ListLabel392">
    <w:name w:val="ListLabel 392"/>
    <w:qFormat/>
    <w:rPr>
      <w:rFonts w:cs="Garamond"/>
      <w:b/>
      <w:bCs/>
    </w:rPr>
  </w:style>
  <w:style w:type="character" w:customStyle="1" w:styleId="ListLabel393">
    <w:name w:val="ListLabel 393"/>
    <w:qFormat/>
    <w:rPr>
      <w:rFonts w:cs="Garamond"/>
      <w:b/>
      <w:bCs/>
    </w:rPr>
  </w:style>
  <w:style w:type="character" w:customStyle="1" w:styleId="ListLabel394">
    <w:name w:val="ListLabel 394"/>
    <w:qFormat/>
    <w:rPr>
      <w:rFonts w:cs="Garamond"/>
      <w:b/>
      <w:bCs/>
    </w:rPr>
  </w:style>
  <w:style w:type="character" w:customStyle="1" w:styleId="ListLabel395">
    <w:name w:val="ListLabel 395"/>
    <w:qFormat/>
    <w:rPr>
      <w:rFonts w:cs="Garamond"/>
      <w:b/>
      <w:bCs/>
    </w:rPr>
  </w:style>
  <w:style w:type="character" w:customStyle="1" w:styleId="ListLabel396">
    <w:name w:val="ListLabel 396"/>
    <w:qFormat/>
    <w:rPr>
      <w:rFonts w:cs="Garamond"/>
      <w:b/>
      <w:bCs/>
    </w:rPr>
  </w:style>
  <w:style w:type="character" w:customStyle="1" w:styleId="ListLabel397">
    <w:name w:val="ListLabel 397"/>
    <w:qFormat/>
    <w:rPr>
      <w:rFonts w:cs="Garamond"/>
      <w:b/>
      <w:bCs/>
    </w:rPr>
  </w:style>
  <w:style w:type="character" w:customStyle="1" w:styleId="ListLabel398">
    <w:name w:val="ListLabel 398"/>
    <w:qFormat/>
    <w:rPr>
      <w:rFonts w:cs="Garamond"/>
      <w:b/>
      <w:bCs/>
    </w:rPr>
  </w:style>
  <w:style w:type="character" w:customStyle="1" w:styleId="ListLabel399">
    <w:name w:val="ListLabel 399"/>
    <w:qFormat/>
    <w:rPr>
      <w:rFonts w:cs="Garamond"/>
      <w:b/>
      <w:bCs/>
    </w:rPr>
  </w:style>
  <w:style w:type="character" w:customStyle="1" w:styleId="ListLabel400">
    <w:name w:val="ListLabel 400"/>
    <w:qFormat/>
    <w:rPr>
      <w:rFonts w:ascii="Calibri" w:hAnsi="Calibri" w:cs="Garamond"/>
      <w:b/>
      <w:bCs/>
      <w:sz w:val="24"/>
    </w:rPr>
  </w:style>
  <w:style w:type="character" w:customStyle="1" w:styleId="ListLabel401">
    <w:name w:val="ListLabel 401"/>
    <w:qFormat/>
    <w:rPr>
      <w:rFonts w:cs="Garamond"/>
      <w:b/>
      <w:bCs/>
    </w:rPr>
  </w:style>
  <w:style w:type="character" w:customStyle="1" w:styleId="ListLabel402">
    <w:name w:val="ListLabel 402"/>
    <w:qFormat/>
    <w:rPr>
      <w:rFonts w:cs="Garamond"/>
      <w:b/>
      <w:bCs/>
    </w:rPr>
  </w:style>
  <w:style w:type="character" w:customStyle="1" w:styleId="ListLabel403">
    <w:name w:val="ListLabel 403"/>
    <w:qFormat/>
    <w:rPr>
      <w:rFonts w:cs="Garamond"/>
      <w:b/>
      <w:bCs/>
    </w:rPr>
  </w:style>
  <w:style w:type="character" w:customStyle="1" w:styleId="ListLabel404">
    <w:name w:val="ListLabel 404"/>
    <w:qFormat/>
    <w:rPr>
      <w:rFonts w:cs="Garamond"/>
      <w:b/>
      <w:bCs/>
    </w:rPr>
  </w:style>
  <w:style w:type="character" w:customStyle="1" w:styleId="ListLabel405">
    <w:name w:val="ListLabel 405"/>
    <w:qFormat/>
    <w:rPr>
      <w:rFonts w:cs="Garamond"/>
      <w:b/>
      <w:bCs/>
    </w:rPr>
  </w:style>
  <w:style w:type="character" w:customStyle="1" w:styleId="ListLabel406">
    <w:name w:val="ListLabel 406"/>
    <w:qFormat/>
    <w:rPr>
      <w:rFonts w:cs="Garamond"/>
      <w:b/>
      <w:bCs/>
    </w:rPr>
  </w:style>
  <w:style w:type="character" w:customStyle="1" w:styleId="ListLabel407">
    <w:name w:val="ListLabel 407"/>
    <w:qFormat/>
    <w:rPr>
      <w:rFonts w:cs="Garamond"/>
      <w:b/>
      <w:bCs/>
    </w:rPr>
  </w:style>
  <w:style w:type="character" w:customStyle="1" w:styleId="ListLabel408">
    <w:name w:val="ListLabel 408"/>
    <w:qFormat/>
    <w:rPr>
      <w:rFonts w:cs="Garamond"/>
      <w:b/>
      <w:bCs/>
    </w:rPr>
  </w:style>
  <w:style w:type="character" w:customStyle="1" w:styleId="ListLabel409">
    <w:name w:val="ListLabel 409"/>
    <w:qFormat/>
    <w:rPr>
      <w:rFonts w:ascii="Calibri" w:hAnsi="Calibri" w:cs="Garamond"/>
      <w:b/>
      <w:bCs/>
      <w:sz w:val="24"/>
    </w:rPr>
  </w:style>
  <w:style w:type="character" w:customStyle="1" w:styleId="ListLabel410">
    <w:name w:val="ListLabel 410"/>
    <w:qFormat/>
    <w:rPr>
      <w:rFonts w:cs="Garamond"/>
      <w:b/>
      <w:bCs/>
    </w:rPr>
  </w:style>
  <w:style w:type="character" w:customStyle="1" w:styleId="ListLabel411">
    <w:name w:val="ListLabel 411"/>
    <w:qFormat/>
    <w:rPr>
      <w:rFonts w:cs="Garamond"/>
      <w:b/>
      <w:bCs/>
    </w:rPr>
  </w:style>
  <w:style w:type="character" w:customStyle="1" w:styleId="ListLabel412">
    <w:name w:val="ListLabel 412"/>
    <w:qFormat/>
    <w:rPr>
      <w:rFonts w:cs="Garamond"/>
      <w:b/>
      <w:bCs/>
    </w:rPr>
  </w:style>
  <w:style w:type="character" w:customStyle="1" w:styleId="ListLabel413">
    <w:name w:val="ListLabel 413"/>
    <w:qFormat/>
    <w:rPr>
      <w:rFonts w:cs="Garamond"/>
      <w:b/>
      <w:bCs/>
    </w:rPr>
  </w:style>
  <w:style w:type="character" w:customStyle="1" w:styleId="ListLabel414">
    <w:name w:val="ListLabel 414"/>
    <w:qFormat/>
    <w:rPr>
      <w:rFonts w:cs="Garamond"/>
      <w:b/>
      <w:bCs/>
    </w:rPr>
  </w:style>
  <w:style w:type="character" w:customStyle="1" w:styleId="ListLabel415">
    <w:name w:val="ListLabel 415"/>
    <w:qFormat/>
    <w:rPr>
      <w:rFonts w:cs="Garamond"/>
      <w:b/>
      <w:bCs/>
    </w:rPr>
  </w:style>
  <w:style w:type="character" w:customStyle="1" w:styleId="ListLabel416">
    <w:name w:val="ListLabel 416"/>
    <w:qFormat/>
    <w:rPr>
      <w:rFonts w:cs="Garamond"/>
      <w:b/>
      <w:bCs/>
    </w:rPr>
  </w:style>
  <w:style w:type="character" w:customStyle="1" w:styleId="ListLabel417">
    <w:name w:val="ListLabel 417"/>
    <w:qFormat/>
    <w:rPr>
      <w:rFonts w:cs="Garamond"/>
      <w:b/>
      <w:bCs/>
    </w:rPr>
  </w:style>
  <w:style w:type="character" w:customStyle="1" w:styleId="ListLabel418">
    <w:name w:val="ListLabel 418"/>
    <w:qFormat/>
    <w:rPr>
      <w:rFonts w:ascii="Calibri" w:hAnsi="Calibri" w:cs="Garamond"/>
      <w:b/>
      <w:bCs/>
      <w:sz w:val="24"/>
    </w:rPr>
  </w:style>
  <w:style w:type="character" w:customStyle="1" w:styleId="ListLabel419">
    <w:name w:val="ListLabel 419"/>
    <w:qFormat/>
    <w:rPr>
      <w:rFonts w:cs="Garamond"/>
      <w:b/>
      <w:bCs/>
    </w:rPr>
  </w:style>
  <w:style w:type="character" w:customStyle="1" w:styleId="ListLabel420">
    <w:name w:val="ListLabel 420"/>
    <w:qFormat/>
    <w:rPr>
      <w:rFonts w:cs="Garamond"/>
      <w:b/>
      <w:bCs/>
    </w:rPr>
  </w:style>
  <w:style w:type="character" w:customStyle="1" w:styleId="ListLabel421">
    <w:name w:val="ListLabel 421"/>
    <w:qFormat/>
    <w:rPr>
      <w:rFonts w:cs="Garamond"/>
      <w:b/>
      <w:bCs/>
    </w:rPr>
  </w:style>
  <w:style w:type="character" w:customStyle="1" w:styleId="ListLabel422">
    <w:name w:val="ListLabel 422"/>
    <w:qFormat/>
    <w:rPr>
      <w:rFonts w:cs="Garamond"/>
      <w:b/>
      <w:bCs/>
    </w:rPr>
  </w:style>
  <w:style w:type="character" w:customStyle="1" w:styleId="ListLabel423">
    <w:name w:val="ListLabel 423"/>
    <w:qFormat/>
    <w:rPr>
      <w:rFonts w:cs="Garamond"/>
      <w:b/>
      <w:bCs/>
    </w:rPr>
  </w:style>
  <w:style w:type="character" w:customStyle="1" w:styleId="ListLabel424">
    <w:name w:val="ListLabel 424"/>
    <w:qFormat/>
    <w:rPr>
      <w:rFonts w:cs="Garamond"/>
      <w:b/>
      <w:bCs/>
    </w:rPr>
  </w:style>
  <w:style w:type="character" w:customStyle="1" w:styleId="ListLabel425">
    <w:name w:val="ListLabel 425"/>
    <w:qFormat/>
    <w:rPr>
      <w:rFonts w:cs="Garamond"/>
      <w:b/>
      <w:bCs/>
    </w:rPr>
  </w:style>
  <w:style w:type="character" w:customStyle="1" w:styleId="ListLabel426">
    <w:name w:val="ListLabel 426"/>
    <w:qFormat/>
    <w:rPr>
      <w:rFonts w:cs="Garamond"/>
      <w:b/>
      <w:bCs/>
    </w:rPr>
  </w:style>
  <w:style w:type="character" w:customStyle="1" w:styleId="ListLabel427">
    <w:name w:val="ListLabel 427"/>
    <w:qFormat/>
    <w:rPr>
      <w:rFonts w:ascii="Calibri" w:hAnsi="Calibri" w:cs="Garamond"/>
      <w:b/>
      <w:bCs/>
      <w:sz w:val="24"/>
    </w:rPr>
  </w:style>
  <w:style w:type="character" w:customStyle="1" w:styleId="ListLabel428">
    <w:name w:val="ListLabel 428"/>
    <w:qFormat/>
    <w:rPr>
      <w:rFonts w:cs="Garamond"/>
      <w:b/>
      <w:bCs/>
    </w:rPr>
  </w:style>
  <w:style w:type="character" w:customStyle="1" w:styleId="ListLabel429">
    <w:name w:val="ListLabel 429"/>
    <w:qFormat/>
    <w:rPr>
      <w:rFonts w:cs="Garamond"/>
      <w:b/>
      <w:bCs/>
    </w:rPr>
  </w:style>
  <w:style w:type="character" w:customStyle="1" w:styleId="ListLabel430">
    <w:name w:val="ListLabel 430"/>
    <w:qFormat/>
    <w:rPr>
      <w:rFonts w:cs="Garamond"/>
      <w:b/>
      <w:bCs/>
    </w:rPr>
  </w:style>
  <w:style w:type="character" w:customStyle="1" w:styleId="ListLabel431">
    <w:name w:val="ListLabel 431"/>
    <w:qFormat/>
    <w:rPr>
      <w:rFonts w:cs="Garamond"/>
      <w:b/>
      <w:bCs/>
    </w:rPr>
  </w:style>
  <w:style w:type="character" w:customStyle="1" w:styleId="ListLabel432">
    <w:name w:val="ListLabel 432"/>
    <w:qFormat/>
    <w:rPr>
      <w:rFonts w:cs="Garamond"/>
      <w:b/>
      <w:bCs/>
    </w:rPr>
  </w:style>
  <w:style w:type="character" w:customStyle="1" w:styleId="ListLabel433">
    <w:name w:val="ListLabel 433"/>
    <w:qFormat/>
    <w:rPr>
      <w:rFonts w:cs="Garamond"/>
      <w:b/>
      <w:bCs/>
    </w:rPr>
  </w:style>
  <w:style w:type="character" w:customStyle="1" w:styleId="ListLabel434">
    <w:name w:val="ListLabel 434"/>
    <w:qFormat/>
    <w:rPr>
      <w:rFonts w:cs="Garamond"/>
      <w:b/>
      <w:bCs/>
    </w:rPr>
  </w:style>
  <w:style w:type="character" w:customStyle="1" w:styleId="ListLabel435">
    <w:name w:val="ListLabel 435"/>
    <w:qFormat/>
    <w:rPr>
      <w:rFonts w:cs="Garamond"/>
      <w:b/>
      <w:bCs/>
    </w:rPr>
  </w:style>
  <w:style w:type="character" w:customStyle="1" w:styleId="ListLabel436">
    <w:name w:val="ListLabel 436"/>
    <w:qFormat/>
    <w:rPr>
      <w:rFonts w:ascii="Calibri" w:hAnsi="Calibri" w:cs="Garamond"/>
      <w:b/>
      <w:bCs/>
      <w:sz w:val="24"/>
    </w:rPr>
  </w:style>
  <w:style w:type="character" w:customStyle="1" w:styleId="ListLabel437">
    <w:name w:val="ListLabel 437"/>
    <w:qFormat/>
    <w:rPr>
      <w:rFonts w:ascii="Calibri" w:hAnsi="Calibri" w:cs="Garamond"/>
      <w:b/>
      <w:bCs/>
      <w:sz w:val="24"/>
    </w:rPr>
  </w:style>
  <w:style w:type="character" w:customStyle="1" w:styleId="ListLabel438">
    <w:name w:val="ListLabel 438"/>
    <w:qFormat/>
    <w:rPr>
      <w:rFonts w:cs="Garamond"/>
      <w:b/>
      <w:bCs/>
    </w:rPr>
  </w:style>
  <w:style w:type="character" w:customStyle="1" w:styleId="ListLabel439">
    <w:name w:val="ListLabel 439"/>
    <w:qFormat/>
    <w:rPr>
      <w:rFonts w:cs="Garamond"/>
      <w:b/>
      <w:bCs/>
    </w:rPr>
  </w:style>
  <w:style w:type="character" w:customStyle="1" w:styleId="ListLabel440">
    <w:name w:val="ListLabel 440"/>
    <w:qFormat/>
    <w:rPr>
      <w:rFonts w:cs="Garamond"/>
      <w:b/>
      <w:bCs/>
    </w:rPr>
  </w:style>
  <w:style w:type="character" w:customStyle="1" w:styleId="ListLabel441">
    <w:name w:val="ListLabel 441"/>
    <w:qFormat/>
    <w:rPr>
      <w:rFonts w:cs="Garamond"/>
      <w:b/>
      <w:bCs/>
    </w:rPr>
  </w:style>
  <w:style w:type="character" w:customStyle="1" w:styleId="ListLabel442">
    <w:name w:val="ListLabel 442"/>
    <w:qFormat/>
    <w:rPr>
      <w:rFonts w:cs="Garamond"/>
      <w:b/>
      <w:bCs/>
    </w:rPr>
  </w:style>
  <w:style w:type="character" w:customStyle="1" w:styleId="ListLabel443">
    <w:name w:val="ListLabel 443"/>
    <w:qFormat/>
    <w:rPr>
      <w:rFonts w:cs="Garamond"/>
      <w:b/>
      <w:bCs/>
    </w:rPr>
  </w:style>
  <w:style w:type="character" w:customStyle="1" w:styleId="ListLabel444">
    <w:name w:val="ListLabel 444"/>
    <w:qFormat/>
    <w:rPr>
      <w:rFonts w:cs="Garamond"/>
      <w:b/>
      <w:bCs/>
    </w:rPr>
  </w:style>
  <w:style w:type="character" w:customStyle="1" w:styleId="ListLabel445">
    <w:name w:val="ListLabel 445"/>
    <w:qFormat/>
    <w:rPr>
      <w:rFonts w:ascii="Calibri" w:hAnsi="Calibri" w:cs="Garamond"/>
      <w:b/>
      <w:bCs/>
      <w:sz w:val="24"/>
    </w:rPr>
  </w:style>
  <w:style w:type="character" w:customStyle="1" w:styleId="ListLabel446">
    <w:name w:val="ListLabel 446"/>
    <w:qFormat/>
    <w:rPr>
      <w:rFonts w:cs="Garamond"/>
      <w:b/>
      <w:bCs/>
    </w:rPr>
  </w:style>
  <w:style w:type="character" w:customStyle="1" w:styleId="ListLabel447">
    <w:name w:val="ListLabel 447"/>
    <w:qFormat/>
    <w:rPr>
      <w:rFonts w:cs="Garamond"/>
      <w:b/>
      <w:bCs/>
    </w:rPr>
  </w:style>
  <w:style w:type="character" w:customStyle="1" w:styleId="ListLabel448">
    <w:name w:val="ListLabel 448"/>
    <w:qFormat/>
    <w:rPr>
      <w:rFonts w:cs="Garamond"/>
      <w:b/>
      <w:bCs/>
    </w:rPr>
  </w:style>
  <w:style w:type="character" w:customStyle="1" w:styleId="ListLabel449">
    <w:name w:val="ListLabel 449"/>
    <w:qFormat/>
    <w:rPr>
      <w:rFonts w:cs="Garamond"/>
      <w:b/>
      <w:bCs/>
    </w:rPr>
  </w:style>
  <w:style w:type="character" w:customStyle="1" w:styleId="ListLabel450">
    <w:name w:val="ListLabel 450"/>
    <w:qFormat/>
    <w:rPr>
      <w:rFonts w:cs="Garamond"/>
      <w:b/>
      <w:bCs/>
    </w:rPr>
  </w:style>
  <w:style w:type="character" w:customStyle="1" w:styleId="ListLabel451">
    <w:name w:val="ListLabel 451"/>
    <w:qFormat/>
    <w:rPr>
      <w:rFonts w:cs="Garamond"/>
      <w:b/>
      <w:bCs/>
    </w:rPr>
  </w:style>
  <w:style w:type="character" w:customStyle="1" w:styleId="ListLabel452">
    <w:name w:val="ListLabel 452"/>
    <w:qFormat/>
    <w:rPr>
      <w:rFonts w:cs="Garamond"/>
      <w:b/>
      <w:bCs/>
    </w:rPr>
  </w:style>
  <w:style w:type="character" w:customStyle="1" w:styleId="ListLabel453">
    <w:name w:val="ListLabel 453"/>
    <w:qFormat/>
    <w:rPr>
      <w:rFonts w:cs="Garamond"/>
      <w:b/>
      <w:bCs/>
    </w:rPr>
  </w:style>
  <w:style w:type="character" w:customStyle="1" w:styleId="ListLabel454">
    <w:name w:val="ListLabel 454"/>
    <w:qFormat/>
    <w:rPr>
      <w:rFonts w:ascii="Calibri" w:hAnsi="Calibri" w:cs="Garamond"/>
      <w:b/>
      <w:bCs/>
      <w:sz w:val="24"/>
    </w:rPr>
  </w:style>
  <w:style w:type="character" w:customStyle="1" w:styleId="ListLabel455">
    <w:name w:val="ListLabel 455"/>
    <w:qFormat/>
    <w:rPr>
      <w:rFonts w:ascii="Calibri" w:hAnsi="Calibri" w:cs="Garamond"/>
      <w:b/>
      <w:bCs/>
      <w:sz w:val="24"/>
    </w:rPr>
  </w:style>
  <w:style w:type="character" w:customStyle="1" w:styleId="ListLabel456">
    <w:name w:val="ListLabel 456"/>
    <w:qFormat/>
    <w:rPr>
      <w:rFonts w:cs="Garamond"/>
      <w:b/>
      <w:bCs/>
    </w:rPr>
  </w:style>
  <w:style w:type="character" w:customStyle="1" w:styleId="ListLabel457">
    <w:name w:val="ListLabel 457"/>
    <w:qFormat/>
    <w:rPr>
      <w:rFonts w:cs="Garamond"/>
      <w:b/>
      <w:bCs/>
    </w:rPr>
  </w:style>
  <w:style w:type="character" w:customStyle="1" w:styleId="ListLabel458">
    <w:name w:val="ListLabel 458"/>
    <w:qFormat/>
    <w:rPr>
      <w:rFonts w:cs="Garamond"/>
      <w:b/>
      <w:bCs/>
    </w:rPr>
  </w:style>
  <w:style w:type="character" w:customStyle="1" w:styleId="ListLabel459">
    <w:name w:val="ListLabel 459"/>
    <w:qFormat/>
    <w:rPr>
      <w:rFonts w:cs="Garamond"/>
      <w:b/>
      <w:bCs/>
    </w:rPr>
  </w:style>
  <w:style w:type="character" w:customStyle="1" w:styleId="ListLabel460">
    <w:name w:val="ListLabel 460"/>
    <w:qFormat/>
    <w:rPr>
      <w:rFonts w:cs="Garamond"/>
      <w:b/>
      <w:bCs/>
    </w:rPr>
  </w:style>
  <w:style w:type="character" w:customStyle="1" w:styleId="ListLabel461">
    <w:name w:val="ListLabel 461"/>
    <w:qFormat/>
    <w:rPr>
      <w:rFonts w:cs="Garamond"/>
      <w:b/>
      <w:bCs/>
    </w:rPr>
  </w:style>
  <w:style w:type="character" w:customStyle="1" w:styleId="ListLabel462">
    <w:name w:val="ListLabel 462"/>
    <w:qFormat/>
    <w:rPr>
      <w:rFonts w:cs="Garamond"/>
      <w:b/>
      <w:bCs/>
    </w:rPr>
  </w:style>
  <w:style w:type="character" w:customStyle="1" w:styleId="ListLabel463">
    <w:name w:val="ListLabel 463"/>
    <w:qFormat/>
    <w:rPr>
      <w:rFonts w:ascii="Calibri" w:hAnsi="Calibri" w:cs="Garamond"/>
      <w:b/>
      <w:bCs/>
      <w:sz w:val="24"/>
    </w:rPr>
  </w:style>
  <w:style w:type="character" w:customStyle="1" w:styleId="ListLabel464">
    <w:name w:val="ListLabel 464"/>
    <w:qFormat/>
    <w:rPr>
      <w:rFonts w:cs="Garamond"/>
      <w:b/>
      <w:bCs/>
    </w:rPr>
  </w:style>
  <w:style w:type="character" w:customStyle="1" w:styleId="ListLabel465">
    <w:name w:val="ListLabel 465"/>
    <w:qFormat/>
    <w:rPr>
      <w:rFonts w:cs="Garamond"/>
      <w:b/>
      <w:bCs/>
    </w:rPr>
  </w:style>
  <w:style w:type="character" w:customStyle="1" w:styleId="ListLabel466">
    <w:name w:val="ListLabel 466"/>
    <w:qFormat/>
    <w:rPr>
      <w:rFonts w:cs="Garamond"/>
      <w:b/>
      <w:bCs/>
    </w:rPr>
  </w:style>
  <w:style w:type="character" w:customStyle="1" w:styleId="ListLabel467">
    <w:name w:val="ListLabel 467"/>
    <w:qFormat/>
    <w:rPr>
      <w:rFonts w:cs="Garamond"/>
      <w:b/>
      <w:bCs/>
    </w:rPr>
  </w:style>
  <w:style w:type="character" w:customStyle="1" w:styleId="ListLabel468">
    <w:name w:val="ListLabel 468"/>
    <w:qFormat/>
    <w:rPr>
      <w:rFonts w:cs="Garamond"/>
      <w:b/>
      <w:bCs/>
    </w:rPr>
  </w:style>
  <w:style w:type="character" w:customStyle="1" w:styleId="ListLabel469">
    <w:name w:val="ListLabel 469"/>
    <w:qFormat/>
    <w:rPr>
      <w:rFonts w:cs="Garamond"/>
      <w:b/>
      <w:bCs/>
    </w:rPr>
  </w:style>
  <w:style w:type="character" w:customStyle="1" w:styleId="ListLabel470">
    <w:name w:val="ListLabel 470"/>
    <w:qFormat/>
    <w:rPr>
      <w:rFonts w:cs="Garamond"/>
      <w:b/>
      <w:bCs/>
    </w:rPr>
  </w:style>
  <w:style w:type="character" w:customStyle="1" w:styleId="ListLabel471">
    <w:name w:val="ListLabel 471"/>
    <w:qFormat/>
    <w:rPr>
      <w:rFonts w:cs="Garamond"/>
      <w:b/>
      <w:bCs/>
    </w:rPr>
  </w:style>
  <w:style w:type="character" w:customStyle="1" w:styleId="ListLabel472">
    <w:name w:val="ListLabel 472"/>
    <w:qFormat/>
    <w:rPr>
      <w:rFonts w:ascii="Calibri" w:hAnsi="Calibri" w:cs="Garamond"/>
      <w:b/>
      <w:bCs/>
      <w:sz w:val="24"/>
    </w:rPr>
  </w:style>
  <w:style w:type="character" w:customStyle="1" w:styleId="ListLabel473">
    <w:name w:val="ListLabel 473"/>
    <w:qFormat/>
    <w:rPr>
      <w:rFonts w:cs="Garamond"/>
      <w:b/>
      <w:bCs/>
    </w:rPr>
  </w:style>
  <w:style w:type="character" w:customStyle="1" w:styleId="ListLabel474">
    <w:name w:val="ListLabel 474"/>
    <w:qFormat/>
    <w:rPr>
      <w:rFonts w:cs="Garamond"/>
      <w:b/>
      <w:bCs/>
    </w:rPr>
  </w:style>
  <w:style w:type="character" w:customStyle="1" w:styleId="ListLabel475">
    <w:name w:val="ListLabel 475"/>
    <w:qFormat/>
    <w:rPr>
      <w:rFonts w:cs="Garamond"/>
      <w:b/>
      <w:bCs/>
    </w:rPr>
  </w:style>
  <w:style w:type="character" w:customStyle="1" w:styleId="ListLabel476">
    <w:name w:val="ListLabel 476"/>
    <w:qFormat/>
    <w:rPr>
      <w:rFonts w:cs="Garamond"/>
      <w:b/>
      <w:bCs/>
    </w:rPr>
  </w:style>
  <w:style w:type="character" w:customStyle="1" w:styleId="ListLabel477">
    <w:name w:val="ListLabel 477"/>
    <w:qFormat/>
    <w:rPr>
      <w:rFonts w:cs="Garamond"/>
      <w:b/>
      <w:bCs/>
    </w:rPr>
  </w:style>
  <w:style w:type="character" w:customStyle="1" w:styleId="ListLabel478">
    <w:name w:val="ListLabel 478"/>
    <w:qFormat/>
    <w:rPr>
      <w:rFonts w:cs="Garamond"/>
      <w:b/>
      <w:bCs/>
    </w:rPr>
  </w:style>
  <w:style w:type="character" w:customStyle="1" w:styleId="ListLabel479">
    <w:name w:val="ListLabel 479"/>
    <w:qFormat/>
    <w:rPr>
      <w:rFonts w:cs="Garamond"/>
      <w:b/>
      <w:bCs/>
    </w:rPr>
  </w:style>
  <w:style w:type="character" w:customStyle="1" w:styleId="ListLabel480">
    <w:name w:val="ListLabel 480"/>
    <w:qFormat/>
    <w:rPr>
      <w:rFonts w:cs="Garamond"/>
      <w:b/>
      <w:bCs/>
    </w:rPr>
  </w:style>
  <w:style w:type="character" w:customStyle="1" w:styleId="ListLabel481">
    <w:name w:val="ListLabel 481"/>
    <w:qFormat/>
    <w:rPr>
      <w:rFonts w:ascii="Calibri" w:hAnsi="Calibri" w:cs="Garamond"/>
      <w:b/>
      <w:bCs/>
      <w:sz w:val="24"/>
    </w:rPr>
  </w:style>
  <w:style w:type="character" w:customStyle="1" w:styleId="ListLabel482">
    <w:name w:val="ListLabel 482"/>
    <w:qFormat/>
    <w:rPr>
      <w:rFonts w:cs="Garamond"/>
      <w:b/>
      <w:bCs/>
    </w:rPr>
  </w:style>
  <w:style w:type="character" w:customStyle="1" w:styleId="ListLabel483">
    <w:name w:val="ListLabel 483"/>
    <w:qFormat/>
    <w:rPr>
      <w:rFonts w:cs="Garamond"/>
      <w:b/>
      <w:bCs/>
    </w:rPr>
  </w:style>
  <w:style w:type="character" w:customStyle="1" w:styleId="ListLabel484">
    <w:name w:val="ListLabel 484"/>
    <w:qFormat/>
    <w:rPr>
      <w:rFonts w:cs="Garamond"/>
      <w:b/>
      <w:bCs/>
    </w:rPr>
  </w:style>
  <w:style w:type="character" w:customStyle="1" w:styleId="ListLabel485">
    <w:name w:val="ListLabel 485"/>
    <w:qFormat/>
    <w:rPr>
      <w:rFonts w:cs="Garamond"/>
      <w:b/>
      <w:bCs/>
    </w:rPr>
  </w:style>
  <w:style w:type="character" w:customStyle="1" w:styleId="ListLabel486">
    <w:name w:val="ListLabel 486"/>
    <w:qFormat/>
    <w:rPr>
      <w:rFonts w:cs="Garamond"/>
      <w:b/>
      <w:bCs/>
    </w:rPr>
  </w:style>
  <w:style w:type="character" w:customStyle="1" w:styleId="ListLabel487">
    <w:name w:val="ListLabel 487"/>
    <w:qFormat/>
    <w:rPr>
      <w:rFonts w:cs="Garamond"/>
      <w:b/>
      <w:bCs/>
    </w:rPr>
  </w:style>
  <w:style w:type="character" w:customStyle="1" w:styleId="ListLabel488">
    <w:name w:val="ListLabel 488"/>
    <w:qFormat/>
    <w:rPr>
      <w:rFonts w:cs="Garamond"/>
      <w:b/>
      <w:bCs/>
    </w:rPr>
  </w:style>
  <w:style w:type="character" w:customStyle="1" w:styleId="ListLabel489">
    <w:name w:val="ListLabel 489"/>
    <w:qFormat/>
    <w:rPr>
      <w:rFonts w:cs="Garamond"/>
      <w:b/>
      <w:bCs/>
    </w:rPr>
  </w:style>
  <w:style w:type="character" w:customStyle="1" w:styleId="ListLabel490">
    <w:name w:val="ListLabel 490"/>
    <w:qFormat/>
    <w:rPr>
      <w:rFonts w:cs="Garamond"/>
      <w:b/>
      <w:bCs/>
      <w:sz w:val="24"/>
    </w:rPr>
  </w:style>
  <w:style w:type="character" w:customStyle="1" w:styleId="ListLabel491">
    <w:name w:val="ListLabel 491"/>
    <w:qFormat/>
    <w:rPr>
      <w:rFonts w:cs="Garamond"/>
      <w:b/>
      <w:bCs/>
    </w:rPr>
  </w:style>
  <w:style w:type="character" w:customStyle="1" w:styleId="ListLabel492">
    <w:name w:val="ListLabel 492"/>
    <w:qFormat/>
    <w:rPr>
      <w:rFonts w:cs="Garamond"/>
      <w:b/>
      <w:bCs/>
    </w:rPr>
  </w:style>
  <w:style w:type="character" w:customStyle="1" w:styleId="ListLabel493">
    <w:name w:val="ListLabel 493"/>
    <w:qFormat/>
    <w:rPr>
      <w:rFonts w:cs="Garamond"/>
      <w:b/>
      <w:bCs/>
    </w:rPr>
  </w:style>
  <w:style w:type="character" w:customStyle="1" w:styleId="ListLabel494">
    <w:name w:val="ListLabel 494"/>
    <w:qFormat/>
    <w:rPr>
      <w:rFonts w:cs="Garamond"/>
      <w:b/>
      <w:bCs/>
    </w:rPr>
  </w:style>
  <w:style w:type="character" w:customStyle="1" w:styleId="ListLabel495">
    <w:name w:val="ListLabel 495"/>
    <w:qFormat/>
    <w:rPr>
      <w:rFonts w:cs="Garamond"/>
      <w:b/>
      <w:bCs/>
    </w:rPr>
  </w:style>
  <w:style w:type="character" w:customStyle="1" w:styleId="ListLabel496">
    <w:name w:val="ListLabel 496"/>
    <w:qFormat/>
    <w:rPr>
      <w:rFonts w:cs="Garamond"/>
      <w:b/>
      <w:bCs/>
    </w:rPr>
  </w:style>
  <w:style w:type="character" w:customStyle="1" w:styleId="ListLabel497">
    <w:name w:val="ListLabel 497"/>
    <w:qFormat/>
    <w:rPr>
      <w:rFonts w:cs="Garamond"/>
      <w:b/>
      <w:bCs/>
    </w:rPr>
  </w:style>
  <w:style w:type="character" w:customStyle="1" w:styleId="ListLabel498">
    <w:name w:val="ListLabel 498"/>
    <w:qFormat/>
    <w:rPr>
      <w:rFonts w:cs="Garamond"/>
      <w:b/>
      <w:bCs/>
    </w:rPr>
  </w:style>
  <w:style w:type="character" w:customStyle="1" w:styleId="ListLabel499">
    <w:name w:val="ListLabel 499"/>
    <w:qFormat/>
    <w:rPr>
      <w:rFonts w:ascii="Calibri" w:hAnsi="Calibri" w:cs="Garamond"/>
      <w:b/>
      <w:bCs/>
      <w:sz w:val="24"/>
    </w:rPr>
  </w:style>
  <w:style w:type="character" w:customStyle="1" w:styleId="ListLabel500">
    <w:name w:val="ListLabel 500"/>
    <w:qFormat/>
    <w:rPr>
      <w:rFonts w:cs="Garamond"/>
      <w:b/>
      <w:bCs/>
    </w:rPr>
  </w:style>
  <w:style w:type="character" w:customStyle="1" w:styleId="ListLabel501">
    <w:name w:val="ListLabel 501"/>
    <w:qFormat/>
    <w:rPr>
      <w:rFonts w:cs="Garamond"/>
      <w:b/>
      <w:bCs/>
    </w:rPr>
  </w:style>
  <w:style w:type="character" w:customStyle="1" w:styleId="ListLabel502">
    <w:name w:val="ListLabel 502"/>
    <w:qFormat/>
    <w:rPr>
      <w:rFonts w:cs="Garamond"/>
      <w:b/>
      <w:bCs/>
    </w:rPr>
  </w:style>
  <w:style w:type="character" w:customStyle="1" w:styleId="ListLabel503">
    <w:name w:val="ListLabel 503"/>
    <w:qFormat/>
    <w:rPr>
      <w:rFonts w:cs="Garamond"/>
      <w:b/>
      <w:bCs/>
    </w:rPr>
  </w:style>
  <w:style w:type="character" w:customStyle="1" w:styleId="ListLabel504">
    <w:name w:val="ListLabel 504"/>
    <w:qFormat/>
    <w:rPr>
      <w:rFonts w:cs="Garamond"/>
      <w:b/>
      <w:bCs/>
    </w:rPr>
  </w:style>
  <w:style w:type="character" w:customStyle="1" w:styleId="ListLabel505">
    <w:name w:val="ListLabel 505"/>
    <w:qFormat/>
    <w:rPr>
      <w:rFonts w:cs="Garamond"/>
      <w:b/>
      <w:bCs/>
    </w:rPr>
  </w:style>
  <w:style w:type="character" w:customStyle="1" w:styleId="ListLabel506">
    <w:name w:val="ListLabel 506"/>
    <w:qFormat/>
    <w:rPr>
      <w:rFonts w:cs="Garamond"/>
      <w:b/>
      <w:bCs/>
    </w:rPr>
  </w:style>
  <w:style w:type="character" w:customStyle="1" w:styleId="ListLabel507">
    <w:name w:val="ListLabel 507"/>
    <w:qFormat/>
    <w:rPr>
      <w:rFonts w:cs="Garamond"/>
      <w:b/>
      <w:bCs/>
    </w:rPr>
  </w:style>
  <w:style w:type="character" w:customStyle="1" w:styleId="ListLabel508">
    <w:name w:val="ListLabel 508"/>
    <w:qFormat/>
    <w:rPr>
      <w:rFonts w:ascii="Calibri" w:hAnsi="Calibri" w:cs="Garamond"/>
      <w:b/>
      <w:bCs/>
      <w:sz w:val="24"/>
    </w:rPr>
  </w:style>
  <w:style w:type="character" w:customStyle="1" w:styleId="ListLabel509">
    <w:name w:val="ListLabel 509"/>
    <w:qFormat/>
    <w:rPr>
      <w:rFonts w:cs="Garamond"/>
      <w:b/>
      <w:bCs/>
    </w:rPr>
  </w:style>
  <w:style w:type="character" w:customStyle="1" w:styleId="ListLabel510">
    <w:name w:val="ListLabel 510"/>
    <w:qFormat/>
    <w:rPr>
      <w:rFonts w:cs="Garamond"/>
      <w:b/>
      <w:bCs/>
    </w:rPr>
  </w:style>
  <w:style w:type="character" w:customStyle="1" w:styleId="ListLabel511">
    <w:name w:val="ListLabel 511"/>
    <w:qFormat/>
    <w:rPr>
      <w:rFonts w:cs="Garamond"/>
      <w:b/>
      <w:bCs/>
    </w:rPr>
  </w:style>
  <w:style w:type="character" w:customStyle="1" w:styleId="ListLabel512">
    <w:name w:val="ListLabel 512"/>
    <w:qFormat/>
    <w:rPr>
      <w:rFonts w:cs="Garamond"/>
      <w:b/>
      <w:bCs/>
    </w:rPr>
  </w:style>
  <w:style w:type="character" w:customStyle="1" w:styleId="ListLabel513">
    <w:name w:val="ListLabel 513"/>
    <w:qFormat/>
    <w:rPr>
      <w:rFonts w:cs="Garamond"/>
      <w:b/>
      <w:bCs/>
    </w:rPr>
  </w:style>
  <w:style w:type="character" w:customStyle="1" w:styleId="ListLabel514">
    <w:name w:val="ListLabel 514"/>
    <w:qFormat/>
    <w:rPr>
      <w:rFonts w:cs="Garamond"/>
      <w:b/>
      <w:bCs/>
    </w:rPr>
  </w:style>
  <w:style w:type="character" w:customStyle="1" w:styleId="ListLabel515">
    <w:name w:val="ListLabel 515"/>
    <w:qFormat/>
    <w:rPr>
      <w:rFonts w:cs="Garamond"/>
      <w:b/>
      <w:bCs/>
    </w:rPr>
  </w:style>
  <w:style w:type="character" w:customStyle="1" w:styleId="ListLabel516">
    <w:name w:val="ListLabel 516"/>
    <w:qFormat/>
    <w:rPr>
      <w:rFonts w:cs="Garamond"/>
      <w:b/>
      <w:bCs/>
    </w:rPr>
  </w:style>
  <w:style w:type="character" w:customStyle="1" w:styleId="ListLabel517">
    <w:name w:val="ListLabel 517"/>
    <w:qFormat/>
    <w:rPr>
      <w:rFonts w:ascii="Calibri" w:hAnsi="Calibri" w:cs="Garamond"/>
      <w:b/>
      <w:bCs/>
      <w:sz w:val="24"/>
    </w:rPr>
  </w:style>
  <w:style w:type="character" w:customStyle="1" w:styleId="ListLabel518">
    <w:name w:val="ListLabel 518"/>
    <w:qFormat/>
    <w:rPr>
      <w:rFonts w:cs="Garamond"/>
      <w:b/>
      <w:bCs/>
    </w:rPr>
  </w:style>
  <w:style w:type="character" w:customStyle="1" w:styleId="ListLabel519">
    <w:name w:val="ListLabel 519"/>
    <w:qFormat/>
    <w:rPr>
      <w:rFonts w:cs="Garamond"/>
      <w:b/>
      <w:bCs/>
    </w:rPr>
  </w:style>
  <w:style w:type="character" w:customStyle="1" w:styleId="ListLabel520">
    <w:name w:val="ListLabel 520"/>
    <w:qFormat/>
    <w:rPr>
      <w:rFonts w:cs="Garamond"/>
      <w:b/>
      <w:bCs/>
    </w:rPr>
  </w:style>
  <w:style w:type="character" w:customStyle="1" w:styleId="ListLabel521">
    <w:name w:val="ListLabel 521"/>
    <w:qFormat/>
    <w:rPr>
      <w:rFonts w:cs="Garamond"/>
      <w:b/>
      <w:bCs/>
    </w:rPr>
  </w:style>
  <w:style w:type="character" w:customStyle="1" w:styleId="ListLabel522">
    <w:name w:val="ListLabel 522"/>
    <w:qFormat/>
    <w:rPr>
      <w:rFonts w:cs="Garamond"/>
      <w:b/>
      <w:bCs/>
    </w:rPr>
  </w:style>
  <w:style w:type="character" w:customStyle="1" w:styleId="ListLabel523">
    <w:name w:val="ListLabel 523"/>
    <w:qFormat/>
    <w:rPr>
      <w:rFonts w:cs="Garamond"/>
      <w:b/>
      <w:bCs/>
    </w:rPr>
  </w:style>
  <w:style w:type="character" w:customStyle="1" w:styleId="ListLabel524">
    <w:name w:val="ListLabel 524"/>
    <w:qFormat/>
    <w:rPr>
      <w:rFonts w:cs="Garamond"/>
      <w:b/>
      <w:bCs/>
    </w:rPr>
  </w:style>
  <w:style w:type="character" w:customStyle="1" w:styleId="ListLabel525">
    <w:name w:val="ListLabel 525"/>
    <w:qFormat/>
    <w:rPr>
      <w:rFonts w:cs="Garamond"/>
      <w:b/>
      <w:bCs/>
    </w:rPr>
  </w:style>
  <w:style w:type="character" w:customStyle="1" w:styleId="ListLabel526">
    <w:name w:val="ListLabel 526"/>
    <w:qFormat/>
    <w:rPr>
      <w:rFonts w:ascii="Calibri" w:hAnsi="Calibri" w:cs="Garamond"/>
      <w:b/>
      <w:bCs/>
      <w:sz w:val="24"/>
    </w:rPr>
  </w:style>
  <w:style w:type="character" w:customStyle="1" w:styleId="ListLabel527">
    <w:name w:val="ListLabel 527"/>
    <w:qFormat/>
    <w:rPr>
      <w:rFonts w:cs="Garamond"/>
      <w:b/>
      <w:bCs/>
    </w:rPr>
  </w:style>
  <w:style w:type="character" w:customStyle="1" w:styleId="ListLabel528">
    <w:name w:val="ListLabel 528"/>
    <w:qFormat/>
    <w:rPr>
      <w:rFonts w:cs="Garamond"/>
      <w:b/>
      <w:bCs/>
    </w:rPr>
  </w:style>
  <w:style w:type="character" w:customStyle="1" w:styleId="ListLabel529">
    <w:name w:val="ListLabel 529"/>
    <w:qFormat/>
    <w:rPr>
      <w:rFonts w:cs="Garamond"/>
      <w:b/>
      <w:bCs/>
    </w:rPr>
  </w:style>
  <w:style w:type="character" w:customStyle="1" w:styleId="ListLabel530">
    <w:name w:val="ListLabel 530"/>
    <w:qFormat/>
    <w:rPr>
      <w:rFonts w:cs="Garamond"/>
      <w:b/>
      <w:bCs/>
    </w:rPr>
  </w:style>
  <w:style w:type="character" w:customStyle="1" w:styleId="ListLabel531">
    <w:name w:val="ListLabel 531"/>
    <w:qFormat/>
    <w:rPr>
      <w:rFonts w:cs="Garamond"/>
      <w:b/>
      <w:bCs/>
    </w:rPr>
  </w:style>
  <w:style w:type="character" w:customStyle="1" w:styleId="ListLabel532">
    <w:name w:val="ListLabel 532"/>
    <w:qFormat/>
    <w:rPr>
      <w:rFonts w:cs="Garamond"/>
      <w:b/>
      <w:bCs/>
    </w:rPr>
  </w:style>
  <w:style w:type="character" w:customStyle="1" w:styleId="ListLabel533">
    <w:name w:val="ListLabel 533"/>
    <w:qFormat/>
    <w:rPr>
      <w:rFonts w:cs="Garamond"/>
      <w:b/>
      <w:bCs/>
    </w:rPr>
  </w:style>
  <w:style w:type="character" w:customStyle="1" w:styleId="ListLabel534">
    <w:name w:val="ListLabel 534"/>
    <w:qFormat/>
    <w:rPr>
      <w:rFonts w:cs="Garamond"/>
      <w:b/>
      <w:bCs/>
    </w:rPr>
  </w:style>
  <w:style w:type="character" w:customStyle="1" w:styleId="ListLabel535">
    <w:name w:val="ListLabel 535"/>
    <w:qFormat/>
    <w:rPr>
      <w:rFonts w:ascii="Calibri" w:hAnsi="Calibri" w:cs="Garamond"/>
      <w:b/>
      <w:bCs/>
      <w:sz w:val="24"/>
    </w:rPr>
  </w:style>
  <w:style w:type="character" w:customStyle="1" w:styleId="ListLabel536">
    <w:name w:val="ListLabel 536"/>
    <w:qFormat/>
    <w:rPr>
      <w:rFonts w:cs="Garamond"/>
      <w:b/>
      <w:bCs/>
    </w:rPr>
  </w:style>
  <w:style w:type="character" w:customStyle="1" w:styleId="ListLabel537">
    <w:name w:val="ListLabel 537"/>
    <w:qFormat/>
    <w:rPr>
      <w:rFonts w:cs="Garamond"/>
      <w:b/>
      <w:bCs/>
    </w:rPr>
  </w:style>
  <w:style w:type="character" w:customStyle="1" w:styleId="ListLabel538">
    <w:name w:val="ListLabel 538"/>
    <w:qFormat/>
    <w:rPr>
      <w:rFonts w:cs="Garamond"/>
      <w:b/>
      <w:bCs/>
    </w:rPr>
  </w:style>
  <w:style w:type="character" w:customStyle="1" w:styleId="ListLabel539">
    <w:name w:val="ListLabel 539"/>
    <w:qFormat/>
    <w:rPr>
      <w:rFonts w:cs="Garamond"/>
      <w:b/>
      <w:bCs/>
    </w:rPr>
  </w:style>
  <w:style w:type="character" w:customStyle="1" w:styleId="ListLabel540">
    <w:name w:val="ListLabel 540"/>
    <w:qFormat/>
    <w:rPr>
      <w:rFonts w:cs="Garamond"/>
      <w:b/>
      <w:bCs/>
    </w:rPr>
  </w:style>
  <w:style w:type="character" w:customStyle="1" w:styleId="ListLabel541">
    <w:name w:val="ListLabel 541"/>
    <w:qFormat/>
    <w:rPr>
      <w:rFonts w:cs="Garamond"/>
      <w:b/>
      <w:bCs/>
    </w:rPr>
  </w:style>
  <w:style w:type="character" w:customStyle="1" w:styleId="ListLabel542">
    <w:name w:val="ListLabel 542"/>
    <w:qFormat/>
    <w:rPr>
      <w:rFonts w:cs="Garamond"/>
      <w:b/>
      <w:bCs/>
    </w:rPr>
  </w:style>
  <w:style w:type="character" w:customStyle="1" w:styleId="ListLabel543">
    <w:name w:val="ListLabel 543"/>
    <w:qFormat/>
    <w:rPr>
      <w:rFonts w:cs="Garamond"/>
      <w:b/>
      <w:bCs/>
    </w:rPr>
  </w:style>
  <w:style w:type="character" w:customStyle="1" w:styleId="ListLabel544">
    <w:name w:val="ListLabel 544"/>
    <w:qFormat/>
    <w:rPr>
      <w:rFonts w:ascii="Calibri" w:hAnsi="Calibri" w:cs="Garamond"/>
      <w:b/>
      <w:bCs/>
      <w:sz w:val="24"/>
    </w:rPr>
  </w:style>
  <w:style w:type="character" w:customStyle="1" w:styleId="ListLabel545">
    <w:name w:val="ListLabel 545"/>
    <w:qFormat/>
    <w:rPr>
      <w:rFonts w:cs="Garamond"/>
      <w:b/>
      <w:bCs/>
    </w:rPr>
  </w:style>
  <w:style w:type="character" w:customStyle="1" w:styleId="ListLabel546">
    <w:name w:val="ListLabel 546"/>
    <w:qFormat/>
    <w:rPr>
      <w:rFonts w:cs="Garamond"/>
      <w:b/>
      <w:bCs/>
    </w:rPr>
  </w:style>
  <w:style w:type="character" w:customStyle="1" w:styleId="ListLabel547">
    <w:name w:val="ListLabel 547"/>
    <w:qFormat/>
    <w:rPr>
      <w:rFonts w:cs="Garamond"/>
      <w:b/>
      <w:bCs/>
    </w:rPr>
  </w:style>
  <w:style w:type="character" w:customStyle="1" w:styleId="ListLabel548">
    <w:name w:val="ListLabel 548"/>
    <w:qFormat/>
    <w:rPr>
      <w:rFonts w:cs="Garamond"/>
      <w:b/>
      <w:bCs/>
    </w:rPr>
  </w:style>
  <w:style w:type="character" w:customStyle="1" w:styleId="ListLabel549">
    <w:name w:val="ListLabel 549"/>
    <w:qFormat/>
    <w:rPr>
      <w:rFonts w:cs="Garamond"/>
      <w:b/>
      <w:bCs/>
    </w:rPr>
  </w:style>
  <w:style w:type="character" w:customStyle="1" w:styleId="ListLabel550">
    <w:name w:val="ListLabel 550"/>
    <w:qFormat/>
    <w:rPr>
      <w:rFonts w:cs="Garamond"/>
      <w:b/>
      <w:bCs/>
    </w:rPr>
  </w:style>
  <w:style w:type="character" w:customStyle="1" w:styleId="ListLabel551">
    <w:name w:val="ListLabel 551"/>
    <w:qFormat/>
    <w:rPr>
      <w:rFonts w:cs="Garamond"/>
      <w:b/>
      <w:bCs/>
    </w:rPr>
  </w:style>
  <w:style w:type="character" w:customStyle="1" w:styleId="ListLabel552">
    <w:name w:val="ListLabel 552"/>
    <w:qFormat/>
    <w:rPr>
      <w:rFonts w:cs="Garamond"/>
      <w:b/>
      <w:bCs/>
    </w:rPr>
  </w:style>
  <w:style w:type="character" w:customStyle="1" w:styleId="ListLabel553">
    <w:name w:val="ListLabel 553"/>
    <w:qFormat/>
    <w:rPr>
      <w:rFonts w:ascii="Calibri" w:hAnsi="Calibri" w:cs="Garamond"/>
      <w:b/>
      <w:bCs/>
      <w:sz w:val="24"/>
    </w:rPr>
  </w:style>
  <w:style w:type="character" w:customStyle="1" w:styleId="ListLabel554">
    <w:name w:val="ListLabel 554"/>
    <w:qFormat/>
    <w:rPr>
      <w:rFonts w:ascii="Calibri" w:hAnsi="Calibri" w:cs="Garamond"/>
      <w:b/>
      <w:bCs/>
      <w:sz w:val="24"/>
    </w:rPr>
  </w:style>
  <w:style w:type="character" w:customStyle="1" w:styleId="ListLabel555">
    <w:name w:val="ListLabel 555"/>
    <w:qFormat/>
    <w:rPr>
      <w:rFonts w:cs="Garamond"/>
      <w:b/>
      <w:bCs/>
    </w:rPr>
  </w:style>
  <w:style w:type="character" w:customStyle="1" w:styleId="ListLabel556">
    <w:name w:val="ListLabel 556"/>
    <w:qFormat/>
    <w:rPr>
      <w:rFonts w:cs="Garamond"/>
      <w:b/>
      <w:bCs/>
    </w:rPr>
  </w:style>
  <w:style w:type="character" w:customStyle="1" w:styleId="ListLabel557">
    <w:name w:val="ListLabel 557"/>
    <w:qFormat/>
    <w:rPr>
      <w:rFonts w:cs="Garamond"/>
      <w:b/>
      <w:bCs/>
    </w:rPr>
  </w:style>
  <w:style w:type="character" w:customStyle="1" w:styleId="ListLabel558">
    <w:name w:val="ListLabel 558"/>
    <w:qFormat/>
    <w:rPr>
      <w:rFonts w:cs="Garamond"/>
      <w:b/>
      <w:bCs/>
    </w:rPr>
  </w:style>
  <w:style w:type="character" w:customStyle="1" w:styleId="ListLabel559">
    <w:name w:val="ListLabel 559"/>
    <w:qFormat/>
    <w:rPr>
      <w:rFonts w:cs="Garamond"/>
      <w:b/>
      <w:bCs/>
    </w:rPr>
  </w:style>
  <w:style w:type="character" w:customStyle="1" w:styleId="ListLabel560">
    <w:name w:val="ListLabel 560"/>
    <w:qFormat/>
    <w:rPr>
      <w:rFonts w:cs="Garamond"/>
      <w:b/>
      <w:bCs/>
    </w:rPr>
  </w:style>
  <w:style w:type="character" w:customStyle="1" w:styleId="ListLabel561">
    <w:name w:val="ListLabel 561"/>
    <w:qFormat/>
    <w:rPr>
      <w:rFonts w:cs="Garamond"/>
      <w:b/>
      <w:bCs/>
    </w:rPr>
  </w:style>
  <w:style w:type="character" w:customStyle="1" w:styleId="ListLabel562">
    <w:name w:val="ListLabel 562"/>
    <w:qFormat/>
    <w:rPr>
      <w:rFonts w:ascii="Calibri" w:hAnsi="Calibri" w:cs="Garamond"/>
      <w:b/>
      <w:bCs/>
      <w:sz w:val="24"/>
    </w:rPr>
  </w:style>
  <w:style w:type="character" w:customStyle="1" w:styleId="ListLabel563">
    <w:name w:val="ListLabel 563"/>
    <w:qFormat/>
    <w:rPr>
      <w:rFonts w:cs="Garamond"/>
      <w:b/>
      <w:bCs/>
    </w:rPr>
  </w:style>
  <w:style w:type="character" w:customStyle="1" w:styleId="ListLabel564">
    <w:name w:val="ListLabel 564"/>
    <w:qFormat/>
    <w:rPr>
      <w:rFonts w:cs="Garamond"/>
      <w:b/>
      <w:bCs/>
    </w:rPr>
  </w:style>
  <w:style w:type="character" w:customStyle="1" w:styleId="ListLabel565">
    <w:name w:val="ListLabel 565"/>
    <w:qFormat/>
    <w:rPr>
      <w:rFonts w:cs="Garamond"/>
      <w:b/>
      <w:bCs/>
    </w:rPr>
  </w:style>
  <w:style w:type="character" w:customStyle="1" w:styleId="ListLabel566">
    <w:name w:val="ListLabel 566"/>
    <w:qFormat/>
    <w:rPr>
      <w:rFonts w:cs="Garamond"/>
      <w:b/>
      <w:bCs/>
    </w:rPr>
  </w:style>
  <w:style w:type="character" w:customStyle="1" w:styleId="ListLabel567">
    <w:name w:val="ListLabel 567"/>
    <w:qFormat/>
    <w:rPr>
      <w:rFonts w:cs="Garamond"/>
      <w:b/>
      <w:bCs/>
    </w:rPr>
  </w:style>
  <w:style w:type="character" w:customStyle="1" w:styleId="ListLabel568">
    <w:name w:val="ListLabel 568"/>
    <w:qFormat/>
    <w:rPr>
      <w:rFonts w:cs="Garamond"/>
      <w:b/>
      <w:bCs/>
    </w:rPr>
  </w:style>
  <w:style w:type="character" w:customStyle="1" w:styleId="ListLabel569">
    <w:name w:val="ListLabel 569"/>
    <w:qFormat/>
    <w:rPr>
      <w:rFonts w:cs="Garamond"/>
      <w:b/>
      <w:bCs/>
    </w:rPr>
  </w:style>
  <w:style w:type="character" w:customStyle="1" w:styleId="ListLabel570">
    <w:name w:val="ListLabel 570"/>
    <w:qFormat/>
    <w:rPr>
      <w:rFonts w:cs="Garamond"/>
      <w:b/>
      <w:bCs/>
    </w:rPr>
  </w:style>
  <w:style w:type="character" w:customStyle="1" w:styleId="ListLabel571">
    <w:name w:val="ListLabel 571"/>
    <w:qFormat/>
    <w:rPr>
      <w:rFonts w:ascii="Calibri" w:hAnsi="Calibri" w:cs="Garamond"/>
      <w:b/>
      <w:bCs/>
      <w:sz w:val="24"/>
    </w:rPr>
  </w:style>
  <w:style w:type="character" w:customStyle="1" w:styleId="ListLabel572">
    <w:name w:val="ListLabel 572"/>
    <w:qFormat/>
    <w:rPr>
      <w:rFonts w:ascii="Calibri" w:hAnsi="Calibri" w:cs="Garamond"/>
      <w:b/>
      <w:bCs/>
      <w:sz w:val="24"/>
    </w:rPr>
  </w:style>
  <w:style w:type="character" w:customStyle="1" w:styleId="ListLabel573">
    <w:name w:val="ListLabel 573"/>
    <w:qFormat/>
    <w:rPr>
      <w:rFonts w:cs="Garamond"/>
      <w:b/>
      <w:bCs/>
    </w:rPr>
  </w:style>
  <w:style w:type="character" w:customStyle="1" w:styleId="ListLabel574">
    <w:name w:val="ListLabel 574"/>
    <w:qFormat/>
    <w:rPr>
      <w:rFonts w:cs="Garamond"/>
      <w:b/>
      <w:bCs/>
    </w:rPr>
  </w:style>
  <w:style w:type="character" w:customStyle="1" w:styleId="ListLabel575">
    <w:name w:val="ListLabel 575"/>
    <w:qFormat/>
    <w:rPr>
      <w:rFonts w:cs="Garamond"/>
      <w:b/>
      <w:bCs/>
    </w:rPr>
  </w:style>
  <w:style w:type="character" w:customStyle="1" w:styleId="ListLabel576">
    <w:name w:val="ListLabel 576"/>
    <w:qFormat/>
    <w:rPr>
      <w:rFonts w:cs="Garamond"/>
      <w:b/>
      <w:bCs/>
    </w:rPr>
  </w:style>
  <w:style w:type="character" w:customStyle="1" w:styleId="ListLabel577">
    <w:name w:val="ListLabel 577"/>
    <w:qFormat/>
    <w:rPr>
      <w:rFonts w:cs="Garamond"/>
      <w:b/>
      <w:bCs/>
    </w:rPr>
  </w:style>
  <w:style w:type="character" w:customStyle="1" w:styleId="ListLabel578">
    <w:name w:val="ListLabel 578"/>
    <w:qFormat/>
    <w:rPr>
      <w:rFonts w:cs="Garamond"/>
      <w:b/>
      <w:bCs/>
    </w:rPr>
  </w:style>
  <w:style w:type="character" w:customStyle="1" w:styleId="ListLabel579">
    <w:name w:val="ListLabel 579"/>
    <w:qFormat/>
    <w:rPr>
      <w:rFonts w:cs="Garamond"/>
      <w:b/>
      <w:bCs/>
    </w:rPr>
  </w:style>
  <w:style w:type="character" w:customStyle="1" w:styleId="ListLabel580">
    <w:name w:val="ListLabel 580"/>
    <w:qFormat/>
    <w:rPr>
      <w:rFonts w:ascii="Calibri" w:hAnsi="Calibri" w:cs="Garamond"/>
      <w:b/>
      <w:bCs/>
      <w:sz w:val="24"/>
    </w:rPr>
  </w:style>
  <w:style w:type="character" w:customStyle="1" w:styleId="ListLabel581">
    <w:name w:val="ListLabel 581"/>
    <w:qFormat/>
    <w:rPr>
      <w:rFonts w:cs="Garamond"/>
      <w:b/>
      <w:bCs/>
    </w:rPr>
  </w:style>
  <w:style w:type="character" w:customStyle="1" w:styleId="ListLabel582">
    <w:name w:val="ListLabel 582"/>
    <w:qFormat/>
    <w:rPr>
      <w:rFonts w:cs="Garamond"/>
      <w:b/>
      <w:bCs/>
    </w:rPr>
  </w:style>
  <w:style w:type="character" w:customStyle="1" w:styleId="ListLabel583">
    <w:name w:val="ListLabel 583"/>
    <w:qFormat/>
    <w:rPr>
      <w:rFonts w:cs="Garamond"/>
      <w:b/>
      <w:bCs/>
    </w:rPr>
  </w:style>
  <w:style w:type="character" w:customStyle="1" w:styleId="ListLabel584">
    <w:name w:val="ListLabel 584"/>
    <w:qFormat/>
    <w:rPr>
      <w:rFonts w:cs="Garamond"/>
      <w:b/>
      <w:bCs/>
    </w:rPr>
  </w:style>
  <w:style w:type="character" w:customStyle="1" w:styleId="ListLabel585">
    <w:name w:val="ListLabel 585"/>
    <w:qFormat/>
    <w:rPr>
      <w:rFonts w:cs="Garamond"/>
      <w:b/>
      <w:bCs/>
    </w:rPr>
  </w:style>
  <w:style w:type="character" w:customStyle="1" w:styleId="ListLabel586">
    <w:name w:val="ListLabel 586"/>
    <w:qFormat/>
    <w:rPr>
      <w:rFonts w:cs="Garamond"/>
      <w:b/>
      <w:bCs/>
    </w:rPr>
  </w:style>
  <w:style w:type="character" w:customStyle="1" w:styleId="ListLabel587">
    <w:name w:val="ListLabel 587"/>
    <w:qFormat/>
    <w:rPr>
      <w:rFonts w:cs="Garamond"/>
      <w:b/>
      <w:bCs/>
    </w:rPr>
  </w:style>
  <w:style w:type="character" w:customStyle="1" w:styleId="ListLabel588">
    <w:name w:val="ListLabel 588"/>
    <w:qFormat/>
    <w:rPr>
      <w:rFonts w:cs="Garamond"/>
      <w:b/>
      <w:bCs/>
    </w:rPr>
  </w:style>
  <w:style w:type="character" w:customStyle="1" w:styleId="ListLabel589">
    <w:name w:val="ListLabel 589"/>
    <w:qFormat/>
    <w:rPr>
      <w:rFonts w:ascii="Calibri" w:hAnsi="Calibri" w:cs="Garamond"/>
      <w:b/>
      <w:bCs/>
      <w:sz w:val="24"/>
    </w:rPr>
  </w:style>
  <w:style w:type="character" w:customStyle="1" w:styleId="ListLabel590">
    <w:name w:val="ListLabel 590"/>
    <w:qFormat/>
    <w:rPr>
      <w:rFonts w:cs="Garamond"/>
      <w:b/>
      <w:bCs/>
    </w:rPr>
  </w:style>
  <w:style w:type="character" w:customStyle="1" w:styleId="ListLabel591">
    <w:name w:val="ListLabel 591"/>
    <w:qFormat/>
    <w:rPr>
      <w:rFonts w:cs="Garamond"/>
      <w:b/>
      <w:bCs/>
    </w:rPr>
  </w:style>
  <w:style w:type="character" w:customStyle="1" w:styleId="ListLabel592">
    <w:name w:val="ListLabel 592"/>
    <w:qFormat/>
    <w:rPr>
      <w:rFonts w:cs="Garamond"/>
      <w:b/>
      <w:bCs/>
    </w:rPr>
  </w:style>
  <w:style w:type="character" w:customStyle="1" w:styleId="ListLabel593">
    <w:name w:val="ListLabel 593"/>
    <w:qFormat/>
    <w:rPr>
      <w:rFonts w:cs="Garamond"/>
      <w:b/>
      <w:bCs/>
    </w:rPr>
  </w:style>
  <w:style w:type="character" w:customStyle="1" w:styleId="ListLabel594">
    <w:name w:val="ListLabel 594"/>
    <w:qFormat/>
    <w:rPr>
      <w:rFonts w:cs="Garamond"/>
      <w:b/>
      <w:bCs/>
    </w:rPr>
  </w:style>
  <w:style w:type="character" w:customStyle="1" w:styleId="ListLabel595">
    <w:name w:val="ListLabel 595"/>
    <w:qFormat/>
    <w:rPr>
      <w:rFonts w:cs="Garamond"/>
      <w:b/>
      <w:bCs/>
    </w:rPr>
  </w:style>
  <w:style w:type="character" w:customStyle="1" w:styleId="ListLabel596">
    <w:name w:val="ListLabel 596"/>
    <w:qFormat/>
    <w:rPr>
      <w:rFonts w:cs="Garamond"/>
      <w:b/>
      <w:bCs/>
    </w:rPr>
  </w:style>
  <w:style w:type="character" w:customStyle="1" w:styleId="ListLabel597">
    <w:name w:val="ListLabel 597"/>
    <w:qFormat/>
    <w:rPr>
      <w:rFonts w:cs="Garamond"/>
      <w:b/>
      <w:bCs/>
    </w:rPr>
  </w:style>
  <w:style w:type="character" w:customStyle="1" w:styleId="ListLabel598">
    <w:name w:val="ListLabel 598"/>
    <w:qFormat/>
    <w:rPr>
      <w:rFonts w:ascii="Calibri" w:hAnsi="Calibri" w:cs="Garamond"/>
      <w:b/>
      <w:bCs/>
      <w:sz w:val="24"/>
    </w:rPr>
  </w:style>
  <w:style w:type="character" w:customStyle="1" w:styleId="ListLabel599">
    <w:name w:val="ListLabel 599"/>
    <w:qFormat/>
    <w:rPr>
      <w:rFonts w:cs="Garamond"/>
      <w:b/>
      <w:bCs/>
    </w:rPr>
  </w:style>
  <w:style w:type="character" w:customStyle="1" w:styleId="ListLabel600">
    <w:name w:val="ListLabel 600"/>
    <w:qFormat/>
    <w:rPr>
      <w:rFonts w:cs="Garamond"/>
      <w:b/>
      <w:bCs/>
    </w:rPr>
  </w:style>
  <w:style w:type="character" w:customStyle="1" w:styleId="ListLabel601">
    <w:name w:val="ListLabel 601"/>
    <w:qFormat/>
    <w:rPr>
      <w:rFonts w:cs="Garamond"/>
      <w:b/>
      <w:bCs/>
    </w:rPr>
  </w:style>
  <w:style w:type="character" w:customStyle="1" w:styleId="ListLabel602">
    <w:name w:val="ListLabel 602"/>
    <w:qFormat/>
    <w:rPr>
      <w:rFonts w:cs="Garamond"/>
      <w:b/>
      <w:bCs/>
    </w:rPr>
  </w:style>
  <w:style w:type="character" w:customStyle="1" w:styleId="ListLabel603">
    <w:name w:val="ListLabel 603"/>
    <w:qFormat/>
    <w:rPr>
      <w:rFonts w:cs="Garamond"/>
      <w:b/>
      <w:bCs/>
    </w:rPr>
  </w:style>
  <w:style w:type="character" w:customStyle="1" w:styleId="ListLabel604">
    <w:name w:val="ListLabel 604"/>
    <w:qFormat/>
    <w:rPr>
      <w:rFonts w:cs="Garamond"/>
      <w:b/>
      <w:bCs/>
    </w:rPr>
  </w:style>
  <w:style w:type="character" w:customStyle="1" w:styleId="ListLabel605">
    <w:name w:val="ListLabel 605"/>
    <w:qFormat/>
    <w:rPr>
      <w:rFonts w:cs="Garamond"/>
      <w:b/>
      <w:bCs/>
    </w:rPr>
  </w:style>
  <w:style w:type="character" w:customStyle="1" w:styleId="ListLabel606">
    <w:name w:val="ListLabel 606"/>
    <w:qFormat/>
    <w:rPr>
      <w:rFonts w:cs="Garamond"/>
      <w:b/>
      <w:bCs/>
    </w:rPr>
  </w:style>
  <w:style w:type="character" w:customStyle="1" w:styleId="ListLabel607">
    <w:name w:val="ListLabel 607"/>
    <w:qFormat/>
    <w:rPr>
      <w:rFonts w:cs="Garamond"/>
      <w:b/>
      <w:bCs/>
      <w:sz w:val="24"/>
    </w:rPr>
  </w:style>
  <w:style w:type="character" w:customStyle="1" w:styleId="ListLabel608">
    <w:name w:val="ListLabel 608"/>
    <w:qFormat/>
    <w:rPr>
      <w:rFonts w:cs="Garamond"/>
      <w:b/>
      <w:bCs/>
    </w:rPr>
  </w:style>
  <w:style w:type="character" w:customStyle="1" w:styleId="ListLabel609">
    <w:name w:val="ListLabel 609"/>
    <w:qFormat/>
    <w:rPr>
      <w:rFonts w:cs="Garamond"/>
      <w:b/>
      <w:bCs/>
    </w:rPr>
  </w:style>
  <w:style w:type="character" w:customStyle="1" w:styleId="ListLabel610">
    <w:name w:val="ListLabel 610"/>
    <w:qFormat/>
    <w:rPr>
      <w:rFonts w:cs="Garamond"/>
      <w:b/>
      <w:bCs/>
    </w:rPr>
  </w:style>
  <w:style w:type="character" w:customStyle="1" w:styleId="ListLabel611">
    <w:name w:val="ListLabel 611"/>
    <w:qFormat/>
    <w:rPr>
      <w:rFonts w:cs="Garamond"/>
      <w:b/>
      <w:bCs/>
    </w:rPr>
  </w:style>
  <w:style w:type="character" w:customStyle="1" w:styleId="ListLabel612">
    <w:name w:val="ListLabel 612"/>
    <w:qFormat/>
    <w:rPr>
      <w:rFonts w:cs="Garamond"/>
      <w:b/>
      <w:bCs/>
    </w:rPr>
  </w:style>
  <w:style w:type="character" w:customStyle="1" w:styleId="ListLabel613">
    <w:name w:val="ListLabel 613"/>
    <w:qFormat/>
    <w:rPr>
      <w:rFonts w:cs="Garamond"/>
      <w:b/>
      <w:bCs/>
    </w:rPr>
  </w:style>
  <w:style w:type="character" w:customStyle="1" w:styleId="ListLabel614">
    <w:name w:val="ListLabel 614"/>
    <w:qFormat/>
    <w:rPr>
      <w:rFonts w:cs="Garamond"/>
      <w:b/>
      <w:bCs/>
    </w:rPr>
  </w:style>
  <w:style w:type="character" w:customStyle="1" w:styleId="ListLabel615">
    <w:name w:val="ListLabel 615"/>
    <w:qFormat/>
    <w:rPr>
      <w:rFonts w:cs="Garamond"/>
      <w:b/>
      <w:bCs/>
    </w:rPr>
  </w:style>
  <w:style w:type="character" w:customStyle="1" w:styleId="ListLabel616">
    <w:name w:val="ListLabel 616"/>
    <w:qFormat/>
    <w:rPr>
      <w:rFonts w:ascii="Calibri" w:hAnsi="Calibri" w:cs="Garamond"/>
      <w:b/>
      <w:bCs/>
      <w:sz w:val="24"/>
    </w:rPr>
  </w:style>
  <w:style w:type="character" w:customStyle="1" w:styleId="ListLabel617">
    <w:name w:val="ListLabel 617"/>
    <w:qFormat/>
    <w:rPr>
      <w:rFonts w:cs="Garamond"/>
      <w:b/>
      <w:bCs/>
    </w:rPr>
  </w:style>
  <w:style w:type="character" w:customStyle="1" w:styleId="ListLabel618">
    <w:name w:val="ListLabel 618"/>
    <w:qFormat/>
    <w:rPr>
      <w:rFonts w:cs="Garamond"/>
      <w:b/>
      <w:bCs/>
    </w:rPr>
  </w:style>
  <w:style w:type="character" w:customStyle="1" w:styleId="ListLabel619">
    <w:name w:val="ListLabel 619"/>
    <w:qFormat/>
    <w:rPr>
      <w:rFonts w:cs="Garamond"/>
      <w:b/>
      <w:bCs/>
    </w:rPr>
  </w:style>
  <w:style w:type="character" w:customStyle="1" w:styleId="ListLabel620">
    <w:name w:val="ListLabel 620"/>
    <w:qFormat/>
    <w:rPr>
      <w:rFonts w:cs="Garamond"/>
      <w:b/>
      <w:bCs/>
    </w:rPr>
  </w:style>
  <w:style w:type="character" w:customStyle="1" w:styleId="ListLabel621">
    <w:name w:val="ListLabel 621"/>
    <w:qFormat/>
    <w:rPr>
      <w:rFonts w:cs="Garamond"/>
      <w:b/>
      <w:bCs/>
    </w:rPr>
  </w:style>
  <w:style w:type="character" w:customStyle="1" w:styleId="ListLabel622">
    <w:name w:val="ListLabel 622"/>
    <w:qFormat/>
    <w:rPr>
      <w:rFonts w:cs="Garamond"/>
      <w:b/>
      <w:bCs/>
    </w:rPr>
  </w:style>
  <w:style w:type="character" w:customStyle="1" w:styleId="ListLabel623">
    <w:name w:val="ListLabel 623"/>
    <w:qFormat/>
    <w:rPr>
      <w:rFonts w:cs="Garamond"/>
      <w:b/>
      <w:bCs/>
    </w:rPr>
  </w:style>
  <w:style w:type="character" w:customStyle="1" w:styleId="ListLabel624">
    <w:name w:val="ListLabel 624"/>
    <w:qFormat/>
    <w:rPr>
      <w:rFonts w:cs="Garamond"/>
      <w:b/>
      <w:bCs/>
    </w:rPr>
  </w:style>
  <w:style w:type="character" w:customStyle="1" w:styleId="ListLabel625">
    <w:name w:val="ListLabel 625"/>
    <w:qFormat/>
    <w:rPr>
      <w:rFonts w:ascii="Calibri" w:hAnsi="Calibri" w:cs="Garamond"/>
      <w:b/>
      <w:bCs/>
      <w:sz w:val="24"/>
    </w:rPr>
  </w:style>
  <w:style w:type="character" w:customStyle="1" w:styleId="ListLabel626">
    <w:name w:val="ListLabel 626"/>
    <w:qFormat/>
    <w:rPr>
      <w:rFonts w:cs="Garamond"/>
      <w:b/>
      <w:bCs/>
    </w:rPr>
  </w:style>
  <w:style w:type="character" w:customStyle="1" w:styleId="ListLabel627">
    <w:name w:val="ListLabel 627"/>
    <w:qFormat/>
    <w:rPr>
      <w:rFonts w:cs="Garamond"/>
      <w:b/>
      <w:bCs/>
    </w:rPr>
  </w:style>
  <w:style w:type="character" w:customStyle="1" w:styleId="ListLabel628">
    <w:name w:val="ListLabel 628"/>
    <w:qFormat/>
    <w:rPr>
      <w:rFonts w:cs="Garamond"/>
      <w:b/>
      <w:bCs/>
    </w:rPr>
  </w:style>
  <w:style w:type="character" w:customStyle="1" w:styleId="ListLabel629">
    <w:name w:val="ListLabel 629"/>
    <w:qFormat/>
    <w:rPr>
      <w:rFonts w:cs="Garamond"/>
      <w:b/>
      <w:bCs/>
    </w:rPr>
  </w:style>
  <w:style w:type="character" w:customStyle="1" w:styleId="ListLabel630">
    <w:name w:val="ListLabel 630"/>
    <w:qFormat/>
    <w:rPr>
      <w:rFonts w:cs="Garamond"/>
      <w:b/>
      <w:bCs/>
    </w:rPr>
  </w:style>
  <w:style w:type="character" w:customStyle="1" w:styleId="ListLabel631">
    <w:name w:val="ListLabel 631"/>
    <w:qFormat/>
    <w:rPr>
      <w:rFonts w:cs="Garamond"/>
      <w:b/>
      <w:bCs/>
    </w:rPr>
  </w:style>
  <w:style w:type="character" w:customStyle="1" w:styleId="ListLabel632">
    <w:name w:val="ListLabel 632"/>
    <w:qFormat/>
    <w:rPr>
      <w:rFonts w:cs="Garamond"/>
      <w:b/>
      <w:bCs/>
    </w:rPr>
  </w:style>
  <w:style w:type="character" w:customStyle="1" w:styleId="ListLabel633">
    <w:name w:val="ListLabel 633"/>
    <w:qFormat/>
    <w:rPr>
      <w:rFonts w:cs="Garamond"/>
      <w:b/>
      <w:bCs/>
    </w:rPr>
  </w:style>
  <w:style w:type="character" w:customStyle="1" w:styleId="ListLabel634">
    <w:name w:val="ListLabel 634"/>
    <w:qFormat/>
    <w:rPr>
      <w:rFonts w:ascii="Calibri" w:hAnsi="Calibri" w:cs="Garamond"/>
      <w:b/>
      <w:bCs/>
      <w:sz w:val="24"/>
    </w:rPr>
  </w:style>
  <w:style w:type="character" w:customStyle="1" w:styleId="ListLabel635">
    <w:name w:val="ListLabel 635"/>
    <w:qFormat/>
    <w:rPr>
      <w:rFonts w:cs="Garamond"/>
      <w:b/>
      <w:bCs/>
    </w:rPr>
  </w:style>
  <w:style w:type="character" w:customStyle="1" w:styleId="ListLabel636">
    <w:name w:val="ListLabel 636"/>
    <w:qFormat/>
    <w:rPr>
      <w:rFonts w:cs="Garamond"/>
      <w:b/>
      <w:bCs/>
    </w:rPr>
  </w:style>
  <w:style w:type="character" w:customStyle="1" w:styleId="ListLabel637">
    <w:name w:val="ListLabel 637"/>
    <w:qFormat/>
    <w:rPr>
      <w:rFonts w:cs="Garamond"/>
      <w:b/>
      <w:bCs/>
    </w:rPr>
  </w:style>
  <w:style w:type="character" w:customStyle="1" w:styleId="ListLabel638">
    <w:name w:val="ListLabel 638"/>
    <w:qFormat/>
    <w:rPr>
      <w:rFonts w:cs="Garamond"/>
      <w:b/>
      <w:bCs/>
    </w:rPr>
  </w:style>
  <w:style w:type="character" w:customStyle="1" w:styleId="ListLabel639">
    <w:name w:val="ListLabel 639"/>
    <w:qFormat/>
    <w:rPr>
      <w:rFonts w:cs="Garamond"/>
      <w:b/>
      <w:bCs/>
    </w:rPr>
  </w:style>
  <w:style w:type="character" w:customStyle="1" w:styleId="ListLabel640">
    <w:name w:val="ListLabel 640"/>
    <w:qFormat/>
    <w:rPr>
      <w:rFonts w:cs="Garamond"/>
      <w:b/>
      <w:bCs/>
    </w:rPr>
  </w:style>
  <w:style w:type="character" w:customStyle="1" w:styleId="ListLabel641">
    <w:name w:val="ListLabel 641"/>
    <w:qFormat/>
    <w:rPr>
      <w:rFonts w:cs="Garamond"/>
      <w:b/>
      <w:bCs/>
    </w:rPr>
  </w:style>
  <w:style w:type="character" w:customStyle="1" w:styleId="ListLabel642">
    <w:name w:val="ListLabel 642"/>
    <w:qFormat/>
    <w:rPr>
      <w:rFonts w:cs="Garamond"/>
      <w:b/>
      <w:bCs/>
    </w:rPr>
  </w:style>
  <w:style w:type="character" w:customStyle="1" w:styleId="ListLabel643">
    <w:name w:val="ListLabel 643"/>
    <w:qFormat/>
    <w:rPr>
      <w:rFonts w:ascii="Calibri" w:hAnsi="Calibri" w:cs="Garamond"/>
      <w:b/>
      <w:bCs/>
      <w:sz w:val="24"/>
    </w:rPr>
  </w:style>
  <w:style w:type="character" w:customStyle="1" w:styleId="ListLabel644">
    <w:name w:val="ListLabel 644"/>
    <w:qFormat/>
    <w:rPr>
      <w:rFonts w:cs="Garamond"/>
      <w:b/>
      <w:bCs/>
    </w:rPr>
  </w:style>
  <w:style w:type="character" w:customStyle="1" w:styleId="ListLabel645">
    <w:name w:val="ListLabel 645"/>
    <w:qFormat/>
    <w:rPr>
      <w:rFonts w:cs="Garamond"/>
      <w:b/>
      <w:bCs/>
    </w:rPr>
  </w:style>
  <w:style w:type="character" w:customStyle="1" w:styleId="ListLabel646">
    <w:name w:val="ListLabel 646"/>
    <w:qFormat/>
    <w:rPr>
      <w:rFonts w:cs="Garamond"/>
      <w:b/>
      <w:bCs/>
    </w:rPr>
  </w:style>
  <w:style w:type="character" w:customStyle="1" w:styleId="ListLabel647">
    <w:name w:val="ListLabel 647"/>
    <w:qFormat/>
    <w:rPr>
      <w:rFonts w:cs="Garamond"/>
      <w:b/>
      <w:bCs/>
    </w:rPr>
  </w:style>
  <w:style w:type="character" w:customStyle="1" w:styleId="ListLabel648">
    <w:name w:val="ListLabel 648"/>
    <w:qFormat/>
    <w:rPr>
      <w:rFonts w:cs="Garamond"/>
      <w:b/>
      <w:bCs/>
    </w:rPr>
  </w:style>
  <w:style w:type="character" w:customStyle="1" w:styleId="ListLabel649">
    <w:name w:val="ListLabel 649"/>
    <w:qFormat/>
    <w:rPr>
      <w:rFonts w:cs="Garamond"/>
      <w:b/>
      <w:bCs/>
    </w:rPr>
  </w:style>
  <w:style w:type="character" w:customStyle="1" w:styleId="ListLabel650">
    <w:name w:val="ListLabel 650"/>
    <w:qFormat/>
    <w:rPr>
      <w:rFonts w:cs="Garamond"/>
      <w:b/>
      <w:bCs/>
    </w:rPr>
  </w:style>
  <w:style w:type="character" w:customStyle="1" w:styleId="ListLabel651">
    <w:name w:val="ListLabel 651"/>
    <w:qFormat/>
    <w:rPr>
      <w:rFonts w:cs="Garamond"/>
      <w:b/>
      <w:bCs/>
    </w:rPr>
  </w:style>
  <w:style w:type="character" w:customStyle="1" w:styleId="ListLabel652">
    <w:name w:val="ListLabel 652"/>
    <w:qFormat/>
    <w:rPr>
      <w:rFonts w:ascii="Calibri" w:hAnsi="Calibri" w:cs="Garamond"/>
      <w:b/>
      <w:bCs/>
      <w:sz w:val="24"/>
    </w:rPr>
  </w:style>
  <w:style w:type="character" w:customStyle="1" w:styleId="ListLabel653">
    <w:name w:val="ListLabel 653"/>
    <w:qFormat/>
    <w:rPr>
      <w:rFonts w:cs="Garamond"/>
      <w:b/>
      <w:bCs/>
    </w:rPr>
  </w:style>
  <w:style w:type="character" w:customStyle="1" w:styleId="ListLabel654">
    <w:name w:val="ListLabel 654"/>
    <w:qFormat/>
    <w:rPr>
      <w:rFonts w:cs="Garamond"/>
      <w:b/>
      <w:bCs/>
    </w:rPr>
  </w:style>
  <w:style w:type="character" w:customStyle="1" w:styleId="ListLabel655">
    <w:name w:val="ListLabel 655"/>
    <w:qFormat/>
    <w:rPr>
      <w:rFonts w:cs="Garamond"/>
      <w:b/>
      <w:bCs/>
    </w:rPr>
  </w:style>
  <w:style w:type="character" w:customStyle="1" w:styleId="ListLabel656">
    <w:name w:val="ListLabel 656"/>
    <w:qFormat/>
    <w:rPr>
      <w:rFonts w:cs="Garamond"/>
      <w:b/>
      <w:bCs/>
    </w:rPr>
  </w:style>
  <w:style w:type="character" w:customStyle="1" w:styleId="ListLabel657">
    <w:name w:val="ListLabel 657"/>
    <w:qFormat/>
    <w:rPr>
      <w:rFonts w:cs="Garamond"/>
      <w:b/>
      <w:bCs/>
    </w:rPr>
  </w:style>
  <w:style w:type="character" w:customStyle="1" w:styleId="ListLabel658">
    <w:name w:val="ListLabel 658"/>
    <w:qFormat/>
    <w:rPr>
      <w:rFonts w:cs="Garamond"/>
      <w:b/>
      <w:bCs/>
    </w:rPr>
  </w:style>
  <w:style w:type="character" w:customStyle="1" w:styleId="ListLabel659">
    <w:name w:val="ListLabel 659"/>
    <w:qFormat/>
    <w:rPr>
      <w:rFonts w:cs="Garamond"/>
      <w:b/>
      <w:bCs/>
    </w:rPr>
  </w:style>
  <w:style w:type="character" w:customStyle="1" w:styleId="ListLabel660">
    <w:name w:val="ListLabel 660"/>
    <w:qFormat/>
    <w:rPr>
      <w:rFonts w:cs="Garamond"/>
      <w:b/>
      <w:bCs/>
    </w:rPr>
  </w:style>
  <w:style w:type="character" w:customStyle="1" w:styleId="ListLabel661">
    <w:name w:val="ListLabel 661"/>
    <w:qFormat/>
    <w:rPr>
      <w:rFonts w:ascii="Calibri" w:hAnsi="Calibri" w:cs="Garamond"/>
      <w:b/>
      <w:bCs/>
      <w:sz w:val="24"/>
    </w:rPr>
  </w:style>
  <w:style w:type="character" w:customStyle="1" w:styleId="ListLabel662">
    <w:name w:val="ListLabel 662"/>
    <w:qFormat/>
    <w:rPr>
      <w:rFonts w:cs="Garamond"/>
      <w:b/>
      <w:bCs/>
    </w:rPr>
  </w:style>
  <w:style w:type="character" w:customStyle="1" w:styleId="ListLabel663">
    <w:name w:val="ListLabel 663"/>
    <w:qFormat/>
    <w:rPr>
      <w:rFonts w:cs="Garamond"/>
      <w:b/>
      <w:bCs/>
    </w:rPr>
  </w:style>
  <w:style w:type="character" w:customStyle="1" w:styleId="ListLabel664">
    <w:name w:val="ListLabel 664"/>
    <w:qFormat/>
    <w:rPr>
      <w:rFonts w:cs="Garamond"/>
      <w:b/>
      <w:bCs/>
    </w:rPr>
  </w:style>
  <w:style w:type="character" w:customStyle="1" w:styleId="ListLabel665">
    <w:name w:val="ListLabel 665"/>
    <w:qFormat/>
    <w:rPr>
      <w:rFonts w:cs="Garamond"/>
      <w:b/>
      <w:bCs/>
    </w:rPr>
  </w:style>
  <w:style w:type="character" w:customStyle="1" w:styleId="ListLabel666">
    <w:name w:val="ListLabel 666"/>
    <w:qFormat/>
    <w:rPr>
      <w:rFonts w:cs="Garamond"/>
      <w:b/>
      <w:bCs/>
    </w:rPr>
  </w:style>
  <w:style w:type="character" w:customStyle="1" w:styleId="ListLabel667">
    <w:name w:val="ListLabel 667"/>
    <w:qFormat/>
    <w:rPr>
      <w:rFonts w:cs="Garamond"/>
      <w:b/>
      <w:bCs/>
    </w:rPr>
  </w:style>
  <w:style w:type="character" w:customStyle="1" w:styleId="ListLabel668">
    <w:name w:val="ListLabel 668"/>
    <w:qFormat/>
    <w:rPr>
      <w:rFonts w:cs="Garamond"/>
      <w:b/>
      <w:bCs/>
    </w:rPr>
  </w:style>
  <w:style w:type="character" w:customStyle="1" w:styleId="ListLabel669">
    <w:name w:val="ListLabel 669"/>
    <w:qFormat/>
    <w:rPr>
      <w:rFonts w:cs="Garamond"/>
      <w:b/>
      <w:bCs/>
    </w:rPr>
  </w:style>
  <w:style w:type="character" w:customStyle="1" w:styleId="ListLabel670">
    <w:name w:val="ListLabel 670"/>
    <w:qFormat/>
    <w:rPr>
      <w:rFonts w:ascii="Calibri" w:hAnsi="Calibri" w:cs="Garamond"/>
      <w:b/>
      <w:bCs/>
      <w:sz w:val="24"/>
    </w:rPr>
  </w:style>
  <w:style w:type="character" w:customStyle="1" w:styleId="ListLabel671">
    <w:name w:val="ListLabel 671"/>
    <w:qFormat/>
    <w:rPr>
      <w:rFonts w:ascii="Calibri" w:hAnsi="Calibri" w:cs="Garamond"/>
      <w:b/>
      <w:bCs/>
      <w:sz w:val="24"/>
    </w:rPr>
  </w:style>
  <w:style w:type="character" w:customStyle="1" w:styleId="ListLabel672">
    <w:name w:val="ListLabel 672"/>
    <w:qFormat/>
    <w:rPr>
      <w:rFonts w:cs="Garamond"/>
      <w:b/>
      <w:bCs/>
    </w:rPr>
  </w:style>
  <w:style w:type="character" w:customStyle="1" w:styleId="ListLabel673">
    <w:name w:val="ListLabel 673"/>
    <w:qFormat/>
    <w:rPr>
      <w:rFonts w:cs="Garamond"/>
      <w:b/>
      <w:bCs/>
    </w:rPr>
  </w:style>
  <w:style w:type="character" w:customStyle="1" w:styleId="ListLabel674">
    <w:name w:val="ListLabel 674"/>
    <w:qFormat/>
    <w:rPr>
      <w:rFonts w:cs="Garamond"/>
      <w:b/>
      <w:bCs/>
    </w:rPr>
  </w:style>
  <w:style w:type="character" w:customStyle="1" w:styleId="ListLabel675">
    <w:name w:val="ListLabel 675"/>
    <w:qFormat/>
    <w:rPr>
      <w:rFonts w:cs="Garamond"/>
      <w:b/>
      <w:bCs/>
    </w:rPr>
  </w:style>
  <w:style w:type="character" w:customStyle="1" w:styleId="ListLabel676">
    <w:name w:val="ListLabel 676"/>
    <w:qFormat/>
    <w:rPr>
      <w:rFonts w:cs="Garamond"/>
      <w:b/>
      <w:bCs/>
    </w:rPr>
  </w:style>
  <w:style w:type="character" w:customStyle="1" w:styleId="ListLabel677">
    <w:name w:val="ListLabel 677"/>
    <w:qFormat/>
    <w:rPr>
      <w:rFonts w:cs="Garamond"/>
      <w:b/>
      <w:bCs/>
    </w:rPr>
  </w:style>
  <w:style w:type="character" w:customStyle="1" w:styleId="ListLabel678">
    <w:name w:val="ListLabel 678"/>
    <w:qFormat/>
    <w:rPr>
      <w:rFonts w:cs="Garamond"/>
      <w:b/>
      <w:bCs/>
    </w:rPr>
  </w:style>
  <w:style w:type="character" w:customStyle="1" w:styleId="ListLabel679">
    <w:name w:val="ListLabel 679"/>
    <w:qFormat/>
    <w:rPr>
      <w:rFonts w:ascii="Calibri" w:hAnsi="Calibri" w:cs="Garamond"/>
      <w:b/>
      <w:bCs/>
      <w:sz w:val="24"/>
    </w:rPr>
  </w:style>
  <w:style w:type="character" w:customStyle="1" w:styleId="ListLabel680">
    <w:name w:val="ListLabel 680"/>
    <w:qFormat/>
    <w:rPr>
      <w:rFonts w:cs="Garamond"/>
      <w:b/>
      <w:bCs/>
    </w:rPr>
  </w:style>
  <w:style w:type="character" w:customStyle="1" w:styleId="ListLabel681">
    <w:name w:val="ListLabel 681"/>
    <w:qFormat/>
    <w:rPr>
      <w:rFonts w:cs="Garamond"/>
      <w:b/>
      <w:bCs/>
    </w:rPr>
  </w:style>
  <w:style w:type="character" w:customStyle="1" w:styleId="ListLabel682">
    <w:name w:val="ListLabel 682"/>
    <w:qFormat/>
    <w:rPr>
      <w:rFonts w:cs="Garamond"/>
      <w:b/>
      <w:bCs/>
    </w:rPr>
  </w:style>
  <w:style w:type="character" w:customStyle="1" w:styleId="ListLabel683">
    <w:name w:val="ListLabel 683"/>
    <w:qFormat/>
    <w:rPr>
      <w:rFonts w:cs="Garamond"/>
      <w:b/>
      <w:bCs/>
    </w:rPr>
  </w:style>
  <w:style w:type="character" w:customStyle="1" w:styleId="ListLabel684">
    <w:name w:val="ListLabel 684"/>
    <w:qFormat/>
    <w:rPr>
      <w:rFonts w:cs="Garamond"/>
      <w:b/>
      <w:bCs/>
    </w:rPr>
  </w:style>
  <w:style w:type="character" w:customStyle="1" w:styleId="ListLabel685">
    <w:name w:val="ListLabel 685"/>
    <w:qFormat/>
    <w:rPr>
      <w:rFonts w:cs="Garamond"/>
      <w:b/>
      <w:bCs/>
    </w:rPr>
  </w:style>
  <w:style w:type="character" w:customStyle="1" w:styleId="ListLabel686">
    <w:name w:val="ListLabel 686"/>
    <w:qFormat/>
    <w:rPr>
      <w:rFonts w:cs="Garamond"/>
      <w:b/>
      <w:bCs/>
    </w:rPr>
  </w:style>
  <w:style w:type="character" w:customStyle="1" w:styleId="ListLabel687">
    <w:name w:val="ListLabel 687"/>
    <w:qFormat/>
    <w:rPr>
      <w:rFonts w:cs="Garamond"/>
      <w:b/>
      <w:bCs/>
    </w:rPr>
  </w:style>
  <w:style w:type="character" w:customStyle="1" w:styleId="ListLabel688">
    <w:name w:val="ListLabel 688"/>
    <w:qFormat/>
    <w:rPr>
      <w:rFonts w:ascii="Calibri" w:hAnsi="Calibri" w:cs="Garamond"/>
      <w:b/>
      <w:bCs/>
      <w:sz w:val="24"/>
    </w:rPr>
  </w:style>
  <w:style w:type="character" w:customStyle="1" w:styleId="ListLabel689">
    <w:name w:val="ListLabel 689"/>
    <w:qFormat/>
    <w:rPr>
      <w:rFonts w:ascii="Calibri" w:hAnsi="Calibri" w:cs="Garamond"/>
      <w:b/>
      <w:bCs/>
      <w:sz w:val="24"/>
    </w:rPr>
  </w:style>
  <w:style w:type="character" w:customStyle="1" w:styleId="ListLabel690">
    <w:name w:val="ListLabel 690"/>
    <w:qFormat/>
    <w:rPr>
      <w:rFonts w:cs="Garamond"/>
      <w:b/>
      <w:bCs/>
    </w:rPr>
  </w:style>
  <w:style w:type="character" w:customStyle="1" w:styleId="ListLabel691">
    <w:name w:val="ListLabel 691"/>
    <w:qFormat/>
    <w:rPr>
      <w:rFonts w:cs="Garamond"/>
      <w:b/>
      <w:bCs/>
    </w:rPr>
  </w:style>
  <w:style w:type="character" w:customStyle="1" w:styleId="ListLabel692">
    <w:name w:val="ListLabel 692"/>
    <w:qFormat/>
    <w:rPr>
      <w:rFonts w:cs="Garamond"/>
      <w:b/>
      <w:bCs/>
    </w:rPr>
  </w:style>
  <w:style w:type="character" w:customStyle="1" w:styleId="ListLabel693">
    <w:name w:val="ListLabel 693"/>
    <w:qFormat/>
    <w:rPr>
      <w:rFonts w:cs="Garamond"/>
      <w:b/>
      <w:bCs/>
    </w:rPr>
  </w:style>
  <w:style w:type="character" w:customStyle="1" w:styleId="ListLabel694">
    <w:name w:val="ListLabel 694"/>
    <w:qFormat/>
    <w:rPr>
      <w:rFonts w:cs="Garamond"/>
      <w:b/>
      <w:bCs/>
    </w:rPr>
  </w:style>
  <w:style w:type="character" w:customStyle="1" w:styleId="ListLabel695">
    <w:name w:val="ListLabel 695"/>
    <w:qFormat/>
    <w:rPr>
      <w:rFonts w:cs="Garamond"/>
      <w:b/>
      <w:bCs/>
    </w:rPr>
  </w:style>
  <w:style w:type="character" w:customStyle="1" w:styleId="ListLabel696">
    <w:name w:val="ListLabel 696"/>
    <w:qFormat/>
    <w:rPr>
      <w:rFonts w:cs="Garamond"/>
      <w:b/>
      <w:bCs/>
    </w:rPr>
  </w:style>
  <w:style w:type="character" w:customStyle="1" w:styleId="ListLabel697">
    <w:name w:val="ListLabel 697"/>
    <w:qFormat/>
    <w:rPr>
      <w:rFonts w:ascii="Calibri" w:hAnsi="Calibri" w:cs="Garamond"/>
      <w:b/>
      <w:bCs/>
      <w:sz w:val="24"/>
    </w:rPr>
  </w:style>
  <w:style w:type="character" w:customStyle="1" w:styleId="ListLabel698">
    <w:name w:val="ListLabel 698"/>
    <w:qFormat/>
    <w:rPr>
      <w:rFonts w:cs="Garamond"/>
      <w:b/>
      <w:bCs/>
    </w:rPr>
  </w:style>
  <w:style w:type="character" w:customStyle="1" w:styleId="ListLabel699">
    <w:name w:val="ListLabel 699"/>
    <w:qFormat/>
    <w:rPr>
      <w:rFonts w:cs="Garamond"/>
      <w:b/>
      <w:bCs/>
    </w:rPr>
  </w:style>
  <w:style w:type="character" w:customStyle="1" w:styleId="ListLabel700">
    <w:name w:val="ListLabel 700"/>
    <w:qFormat/>
    <w:rPr>
      <w:rFonts w:cs="Garamond"/>
      <w:b/>
      <w:bCs/>
    </w:rPr>
  </w:style>
  <w:style w:type="character" w:customStyle="1" w:styleId="ListLabel701">
    <w:name w:val="ListLabel 701"/>
    <w:qFormat/>
    <w:rPr>
      <w:rFonts w:cs="Garamond"/>
      <w:b/>
      <w:bCs/>
    </w:rPr>
  </w:style>
  <w:style w:type="character" w:customStyle="1" w:styleId="ListLabel702">
    <w:name w:val="ListLabel 702"/>
    <w:qFormat/>
    <w:rPr>
      <w:rFonts w:cs="Garamond"/>
      <w:b/>
      <w:bCs/>
    </w:rPr>
  </w:style>
  <w:style w:type="character" w:customStyle="1" w:styleId="ListLabel703">
    <w:name w:val="ListLabel 703"/>
    <w:qFormat/>
    <w:rPr>
      <w:rFonts w:cs="Garamond"/>
      <w:b/>
      <w:bCs/>
    </w:rPr>
  </w:style>
  <w:style w:type="character" w:customStyle="1" w:styleId="ListLabel704">
    <w:name w:val="ListLabel 704"/>
    <w:qFormat/>
    <w:rPr>
      <w:rFonts w:cs="Garamond"/>
      <w:b/>
      <w:bCs/>
    </w:rPr>
  </w:style>
  <w:style w:type="character" w:customStyle="1" w:styleId="ListLabel705">
    <w:name w:val="ListLabel 705"/>
    <w:qFormat/>
    <w:rPr>
      <w:rFonts w:cs="Garamond"/>
      <w:b/>
      <w:bCs/>
    </w:rPr>
  </w:style>
  <w:style w:type="character" w:customStyle="1" w:styleId="ListLabel706">
    <w:name w:val="ListLabel 706"/>
    <w:qFormat/>
    <w:rPr>
      <w:rFonts w:ascii="Calibri" w:hAnsi="Calibri" w:cs="Garamond"/>
      <w:b/>
      <w:bCs/>
      <w:sz w:val="24"/>
    </w:rPr>
  </w:style>
  <w:style w:type="character" w:customStyle="1" w:styleId="ListLabel707">
    <w:name w:val="ListLabel 707"/>
    <w:qFormat/>
    <w:rPr>
      <w:rFonts w:cs="Garamond"/>
      <w:b/>
      <w:bCs/>
    </w:rPr>
  </w:style>
  <w:style w:type="character" w:customStyle="1" w:styleId="ListLabel708">
    <w:name w:val="ListLabel 708"/>
    <w:qFormat/>
    <w:rPr>
      <w:rFonts w:cs="Garamond"/>
      <w:b/>
      <w:bCs/>
    </w:rPr>
  </w:style>
  <w:style w:type="character" w:customStyle="1" w:styleId="ListLabel709">
    <w:name w:val="ListLabel 709"/>
    <w:qFormat/>
    <w:rPr>
      <w:rFonts w:cs="Garamond"/>
      <w:b/>
      <w:bCs/>
    </w:rPr>
  </w:style>
  <w:style w:type="character" w:customStyle="1" w:styleId="ListLabel710">
    <w:name w:val="ListLabel 710"/>
    <w:qFormat/>
    <w:rPr>
      <w:rFonts w:cs="Garamond"/>
      <w:b/>
      <w:bCs/>
    </w:rPr>
  </w:style>
  <w:style w:type="character" w:customStyle="1" w:styleId="ListLabel711">
    <w:name w:val="ListLabel 711"/>
    <w:qFormat/>
    <w:rPr>
      <w:rFonts w:cs="Garamond"/>
      <w:b/>
      <w:bCs/>
    </w:rPr>
  </w:style>
  <w:style w:type="character" w:customStyle="1" w:styleId="ListLabel712">
    <w:name w:val="ListLabel 712"/>
    <w:qFormat/>
    <w:rPr>
      <w:rFonts w:cs="Garamond"/>
      <w:b/>
      <w:bCs/>
    </w:rPr>
  </w:style>
  <w:style w:type="character" w:customStyle="1" w:styleId="ListLabel713">
    <w:name w:val="ListLabel 713"/>
    <w:qFormat/>
    <w:rPr>
      <w:rFonts w:cs="Garamond"/>
      <w:b/>
      <w:bCs/>
    </w:rPr>
  </w:style>
  <w:style w:type="character" w:customStyle="1" w:styleId="ListLabel714">
    <w:name w:val="ListLabel 714"/>
    <w:qFormat/>
    <w:rPr>
      <w:rFonts w:cs="Garamond"/>
      <w:b/>
      <w:bCs/>
    </w:rPr>
  </w:style>
  <w:style w:type="character" w:customStyle="1" w:styleId="ListLabel715">
    <w:name w:val="ListLabel 715"/>
    <w:qFormat/>
    <w:rPr>
      <w:rFonts w:ascii="Calibri" w:hAnsi="Calibri" w:cs="Garamond"/>
      <w:b/>
      <w:bCs/>
      <w:sz w:val="24"/>
    </w:rPr>
  </w:style>
  <w:style w:type="character" w:customStyle="1" w:styleId="ListLabel716">
    <w:name w:val="ListLabel 716"/>
    <w:qFormat/>
    <w:rPr>
      <w:rFonts w:cs="Garamond"/>
      <w:b/>
      <w:bCs/>
    </w:rPr>
  </w:style>
  <w:style w:type="character" w:customStyle="1" w:styleId="ListLabel717">
    <w:name w:val="ListLabel 717"/>
    <w:qFormat/>
    <w:rPr>
      <w:rFonts w:cs="Garamond"/>
      <w:b/>
      <w:bCs/>
    </w:rPr>
  </w:style>
  <w:style w:type="character" w:customStyle="1" w:styleId="ListLabel718">
    <w:name w:val="ListLabel 718"/>
    <w:qFormat/>
    <w:rPr>
      <w:rFonts w:cs="Garamond"/>
      <w:b/>
      <w:bCs/>
    </w:rPr>
  </w:style>
  <w:style w:type="character" w:customStyle="1" w:styleId="ListLabel719">
    <w:name w:val="ListLabel 719"/>
    <w:qFormat/>
    <w:rPr>
      <w:rFonts w:cs="Garamond"/>
      <w:b/>
      <w:bCs/>
    </w:rPr>
  </w:style>
  <w:style w:type="character" w:customStyle="1" w:styleId="ListLabel720">
    <w:name w:val="ListLabel 720"/>
    <w:qFormat/>
    <w:rPr>
      <w:rFonts w:cs="Garamond"/>
      <w:b/>
      <w:bCs/>
    </w:rPr>
  </w:style>
  <w:style w:type="character" w:customStyle="1" w:styleId="ListLabel721">
    <w:name w:val="ListLabel 721"/>
    <w:qFormat/>
    <w:rPr>
      <w:rFonts w:cs="Garamond"/>
      <w:b/>
      <w:bCs/>
    </w:rPr>
  </w:style>
  <w:style w:type="character" w:customStyle="1" w:styleId="ListLabel722">
    <w:name w:val="ListLabel 722"/>
    <w:qFormat/>
    <w:rPr>
      <w:rFonts w:cs="Garamond"/>
      <w:b/>
      <w:bCs/>
    </w:rPr>
  </w:style>
  <w:style w:type="character" w:customStyle="1" w:styleId="ListLabel723">
    <w:name w:val="ListLabel 723"/>
    <w:qFormat/>
    <w:rPr>
      <w:rFonts w:cs="Garamond"/>
      <w:b/>
      <w:bCs/>
    </w:rPr>
  </w:style>
  <w:style w:type="character" w:customStyle="1" w:styleId="ListLabel724">
    <w:name w:val="ListLabel 724"/>
    <w:qFormat/>
    <w:rPr>
      <w:rFonts w:cs="Garamond"/>
      <w:b/>
      <w:bCs/>
      <w:sz w:val="24"/>
    </w:rPr>
  </w:style>
  <w:style w:type="character" w:customStyle="1" w:styleId="ListLabel725">
    <w:name w:val="ListLabel 725"/>
    <w:qFormat/>
    <w:rPr>
      <w:rFonts w:cs="Garamond"/>
      <w:b/>
      <w:bCs/>
    </w:rPr>
  </w:style>
  <w:style w:type="character" w:customStyle="1" w:styleId="ListLabel726">
    <w:name w:val="ListLabel 726"/>
    <w:qFormat/>
    <w:rPr>
      <w:rFonts w:cs="Garamond"/>
      <w:b/>
      <w:bCs/>
    </w:rPr>
  </w:style>
  <w:style w:type="character" w:customStyle="1" w:styleId="ListLabel727">
    <w:name w:val="ListLabel 727"/>
    <w:qFormat/>
    <w:rPr>
      <w:rFonts w:cs="Garamond"/>
      <w:b/>
      <w:bCs/>
    </w:rPr>
  </w:style>
  <w:style w:type="character" w:customStyle="1" w:styleId="ListLabel728">
    <w:name w:val="ListLabel 728"/>
    <w:qFormat/>
    <w:rPr>
      <w:rFonts w:cs="Garamond"/>
      <w:b/>
      <w:bCs/>
    </w:rPr>
  </w:style>
  <w:style w:type="character" w:customStyle="1" w:styleId="ListLabel729">
    <w:name w:val="ListLabel 729"/>
    <w:qFormat/>
    <w:rPr>
      <w:rFonts w:cs="Garamond"/>
      <w:b/>
      <w:bCs/>
    </w:rPr>
  </w:style>
  <w:style w:type="character" w:customStyle="1" w:styleId="ListLabel730">
    <w:name w:val="ListLabel 730"/>
    <w:qFormat/>
    <w:rPr>
      <w:rFonts w:cs="Garamond"/>
      <w:b/>
      <w:bCs/>
    </w:rPr>
  </w:style>
  <w:style w:type="character" w:customStyle="1" w:styleId="ListLabel731">
    <w:name w:val="ListLabel 731"/>
    <w:qFormat/>
    <w:rPr>
      <w:rFonts w:cs="Garamond"/>
      <w:b/>
      <w:bCs/>
    </w:rPr>
  </w:style>
  <w:style w:type="character" w:customStyle="1" w:styleId="ListLabel732">
    <w:name w:val="ListLabel 732"/>
    <w:qFormat/>
    <w:rPr>
      <w:rFonts w:cs="Garamond"/>
      <w:b/>
      <w:bCs/>
    </w:rPr>
  </w:style>
  <w:style w:type="character" w:customStyle="1" w:styleId="ListLabel733">
    <w:name w:val="ListLabel 733"/>
    <w:qFormat/>
    <w:rPr>
      <w:rFonts w:ascii="Calibri" w:hAnsi="Calibri" w:cs="Garamond"/>
      <w:b/>
      <w:bCs/>
      <w:sz w:val="24"/>
    </w:rPr>
  </w:style>
  <w:style w:type="character" w:customStyle="1" w:styleId="ListLabel734">
    <w:name w:val="ListLabel 734"/>
    <w:qFormat/>
    <w:rPr>
      <w:rFonts w:cs="Garamond"/>
      <w:b/>
      <w:bCs/>
    </w:rPr>
  </w:style>
  <w:style w:type="character" w:customStyle="1" w:styleId="ListLabel735">
    <w:name w:val="ListLabel 735"/>
    <w:qFormat/>
    <w:rPr>
      <w:rFonts w:cs="Garamond"/>
      <w:b/>
      <w:bCs/>
    </w:rPr>
  </w:style>
  <w:style w:type="character" w:customStyle="1" w:styleId="ListLabel736">
    <w:name w:val="ListLabel 736"/>
    <w:qFormat/>
    <w:rPr>
      <w:rFonts w:cs="Garamond"/>
      <w:b/>
      <w:bCs/>
    </w:rPr>
  </w:style>
  <w:style w:type="character" w:customStyle="1" w:styleId="ListLabel737">
    <w:name w:val="ListLabel 737"/>
    <w:qFormat/>
    <w:rPr>
      <w:rFonts w:cs="Garamond"/>
      <w:b/>
      <w:bCs/>
    </w:rPr>
  </w:style>
  <w:style w:type="character" w:customStyle="1" w:styleId="ListLabel738">
    <w:name w:val="ListLabel 738"/>
    <w:qFormat/>
    <w:rPr>
      <w:rFonts w:cs="Garamond"/>
      <w:b/>
      <w:bCs/>
    </w:rPr>
  </w:style>
  <w:style w:type="character" w:customStyle="1" w:styleId="ListLabel739">
    <w:name w:val="ListLabel 739"/>
    <w:qFormat/>
    <w:rPr>
      <w:rFonts w:cs="Garamond"/>
      <w:b/>
      <w:bCs/>
    </w:rPr>
  </w:style>
  <w:style w:type="character" w:customStyle="1" w:styleId="ListLabel740">
    <w:name w:val="ListLabel 740"/>
    <w:qFormat/>
    <w:rPr>
      <w:rFonts w:cs="Garamond"/>
      <w:b/>
      <w:bCs/>
    </w:rPr>
  </w:style>
  <w:style w:type="character" w:customStyle="1" w:styleId="ListLabel741">
    <w:name w:val="ListLabel 741"/>
    <w:qFormat/>
    <w:rPr>
      <w:rFonts w:cs="Garamond"/>
      <w:b/>
      <w:bCs/>
    </w:rPr>
  </w:style>
  <w:style w:type="character" w:customStyle="1" w:styleId="ListLabel742">
    <w:name w:val="ListLabel 742"/>
    <w:qFormat/>
    <w:rPr>
      <w:rFonts w:ascii="Calibri" w:hAnsi="Calibri" w:cs="Garamond"/>
      <w:b/>
      <w:bCs/>
      <w:sz w:val="24"/>
    </w:rPr>
  </w:style>
  <w:style w:type="character" w:customStyle="1" w:styleId="ListLabel743">
    <w:name w:val="ListLabel 743"/>
    <w:qFormat/>
    <w:rPr>
      <w:rFonts w:cs="Garamond"/>
      <w:b/>
      <w:bCs/>
    </w:rPr>
  </w:style>
  <w:style w:type="character" w:customStyle="1" w:styleId="ListLabel744">
    <w:name w:val="ListLabel 744"/>
    <w:qFormat/>
    <w:rPr>
      <w:rFonts w:cs="Garamond"/>
      <w:b/>
      <w:bCs/>
    </w:rPr>
  </w:style>
  <w:style w:type="character" w:customStyle="1" w:styleId="ListLabel745">
    <w:name w:val="ListLabel 745"/>
    <w:qFormat/>
    <w:rPr>
      <w:rFonts w:cs="Garamond"/>
      <w:b/>
      <w:bCs/>
    </w:rPr>
  </w:style>
  <w:style w:type="character" w:customStyle="1" w:styleId="ListLabel746">
    <w:name w:val="ListLabel 746"/>
    <w:qFormat/>
    <w:rPr>
      <w:rFonts w:cs="Garamond"/>
      <w:b/>
      <w:bCs/>
    </w:rPr>
  </w:style>
  <w:style w:type="character" w:customStyle="1" w:styleId="ListLabel747">
    <w:name w:val="ListLabel 747"/>
    <w:qFormat/>
    <w:rPr>
      <w:rFonts w:cs="Garamond"/>
      <w:b/>
      <w:bCs/>
    </w:rPr>
  </w:style>
  <w:style w:type="character" w:customStyle="1" w:styleId="ListLabel748">
    <w:name w:val="ListLabel 748"/>
    <w:qFormat/>
    <w:rPr>
      <w:rFonts w:cs="Garamond"/>
      <w:b/>
      <w:bCs/>
    </w:rPr>
  </w:style>
  <w:style w:type="character" w:customStyle="1" w:styleId="ListLabel749">
    <w:name w:val="ListLabel 749"/>
    <w:qFormat/>
    <w:rPr>
      <w:rFonts w:cs="Garamond"/>
      <w:b/>
      <w:bCs/>
    </w:rPr>
  </w:style>
  <w:style w:type="character" w:customStyle="1" w:styleId="ListLabel750">
    <w:name w:val="ListLabel 750"/>
    <w:qFormat/>
    <w:rPr>
      <w:rFonts w:cs="Garamond"/>
      <w:b/>
      <w:bCs/>
    </w:rPr>
  </w:style>
  <w:style w:type="character" w:customStyle="1" w:styleId="ListLabel751">
    <w:name w:val="ListLabel 751"/>
    <w:qFormat/>
    <w:rPr>
      <w:rFonts w:ascii="Calibri" w:hAnsi="Calibri" w:cs="Garamond"/>
      <w:b/>
      <w:bCs/>
      <w:sz w:val="24"/>
    </w:rPr>
  </w:style>
  <w:style w:type="character" w:customStyle="1" w:styleId="ListLabel752">
    <w:name w:val="ListLabel 752"/>
    <w:qFormat/>
    <w:rPr>
      <w:rFonts w:cs="Garamond"/>
      <w:b/>
      <w:bCs/>
    </w:rPr>
  </w:style>
  <w:style w:type="character" w:customStyle="1" w:styleId="ListLabel753">
    <w:name w:val="ListLabel 753"/>
    <w:qFormat/>
    <w:rPr>
      <w:rFonts w:cs="Garamond"/>
      <w:b/>
      <w:bCs/>
    </w:rPr>
  </w:style>
  <w:style w:type="character" w:customStyle="1" w:styleId="ListLabel754">
    <w:name w:val="ListLabel 754"/>
    <w:qFormat/>
    <w:rPr>
      <w:rFonts w:cs="Garamond"/>
      <w:b/>
      <w:bCs/>
    </w:rPr>
  </w:style>
  <w:style w:type="character" w:customStyle="1" w:styleId="ListLabel755">
    <w:name w:val="ListLabel 755"/>
    <w:qFormat/>
    <w:rPr>
      <w:rFonts w:cs="Garamond"/>
      <w:b/>
      <w:bCs/>
    </w:rPr>
  </w:style>
  <w:style w:type="character" w:customStyle="1" w:styleId="ListLabel756">
    <w:name w:val="ListLabel 756"/>
    <w:qFormat/>
    <w:rPr>
      <w:rFonts w:cs="Garamond"/>
      <w:b/>
      <w:bCs/>
    </w:rPr>
  </w:style>
  <w:style w:type="character" w:customStyle="1" w:styleId="ListLabel757">
    <w:name w:val="ListLabel 757"/>
    <w:qFormat/>
    <w:rPr>
      <w:rFonts w:cs="Garamond"/>
      <w:b/>
      <w:bCs/>
    </w:rPr>
  </w:style>
  <w:style w:type="character" w:customStyle="1" w:styleId="ListLabel758">
    <w:name w:val="ListLabel 758"/>
    <w:qFormat/>
    <w:rPr>
      <w:rFonts w:cs="Garamond"/>
      <w:b/>
      <w:bCs/>
    </w:rPr>
  </w:style>
  <w:style w:type="character" w:customStyle="1" w:styleId="ListLabel759">
    <w:name w:val="ListLabel 759"/>
    <w:qFormat/>
    <w:rPr>
      <w:rFonts w:cs="Garamond"/>
      <w:b/>
      <w:bCs/>
    </w:rPr>
  </w:style>
  <w:style w:type="character" w:customStyle="1" w:styleId="ListLabel760">
    <w:name w:val="ListLabel 760"/>
    <w:qFormat/>
    <w:rPr>
      <w:rFonts w:ascii="Calibri" w:hAnsi="Calibri" w:cs="Garamond"/>
      <w:b/>
      <w:bCs/>
      <w:sz w:val="24"/>
    </w:rPr>
  </w:style>
  <w:style w:type="character" w:customStyle="1" w:styleId="ListLabel761">
    <w:name w:val="ListLabel 761"/>
    <w:qFormat/>
    <w:rPr>
      <w:rFonts w:cs="Garamond"/>
      <w:b/>
      <w:bCs/>
    </w:rPr>
  </w:style>
  <w:style w:type="character" w:customStyle="1" w:styleId="ListLabel762">
    <w:name w:val="ListLabel 762"/>
    <w:qFormat/>
    <w:rPr>
      <w:rFonts w:cs="Garamond"/>
      <w:b/>
      <w:bCs/>
    </w:rPr>
  </w:style>
  <w:style w:type="character" w:customStyle="1" w:styleId="ListLabel763">
    <w:name w:val="ListLabel 763"/>
    <w:qFormat/>
    <w:rPr>
      <w:rFonts w:cs="Garamond"/>
      <w:b/>
      <w:bCs/>
    </w:rPr>
  </w:style>
  <w:style w:type="character" w:customStyle="1" w:styleId="ListLabel764">
    <w:name w:val="ListLabel 764"/>
    <w:qFormat/>
    <w:rPr>
      <w:rFonts w:cs="Garamond"/>
      <w:b/>
      <w:bCs/>
    </w:rPr>
  </w:style>
  <w:style w:type="character" w:customStyle="1" w:styleId="ListLabel765">
    <w:name w:val="ListLabel 765"/>
    <w:qFormat/>
    <w:rPr>
      <w:rFonts w:cs="Garamond"/>
      <w:b/>
      <w:bCs/>
    </w:rPr>
  </w:style>
  <w:style w:type="character" w:customStyle="1" w:styleId="ListLabel766">
    <w:name w:val="ListLabel 766"/>
    <w:qFormat/>
    <w:rPr>
      <w:rFonts w:cs="Garamond"/>
      <w:b/>
      <w:bCs/>
    </w:rPr>
  </w:style>
  <w:style w:type="character" w:customStyle="1" w:styleId="ListLabel767">
    <w:name w:val="ListLabel 767"/>
    <w:qFormat/>
    <w:rPr>
      <w:rFonts w:cs="Garamond"/>
      <w:b/>
      <w:bCs/>
    </w:rPr>
  </w:style>
  <w:style w:type="character" w:customStyle="1" w:styleId="ListLabel768">
    <w:name w:val="ListLabel 768"/>
    <w:qFormat/>
    <w:rPr>
      <w:rFonts w:cs="Garamond"/>
      <w:b/>
      <w:bCs/>
    </w:rPr>
  </w:style>
  <w:style w:type="character" w:customStyle="1" w:styleId="ListLabel769">
    <w:name w:val="ListLabel 769"/>
    <w:qFormat/>
    <w:rPr>
      <w:rFonts w:ascii="Calibri" w:hAnsi="Calibri" w:cs="Garamond"/>
      <w:b/>
      <w:bCs/>
      <w:sz w:val="24"/>
    </w:rPr>
  </w:style>
  <w:style w:type="character" w:customStyle="1" w:styleId="ListLabel770">
    <w:name w:val="ListLabel 770"/>
    <w:qFormat/>
    <w:rPr>
      <w:rFonts w:cs="Garamond"/>
      <w:b/>
      <w:bCs/>
    </w:rPr>
  </w:style>
  <w:style w:type="character" w:customStyle="1" w:styleId="ListLabel771">
    <w:name w:val="ListLabel 771"/>
    <w:qFormat/>
    <w:rPr>
      <w:rFonts w:cs="Garamond"/>
      <w:b/>
      <w:bCs/>
    </w:rPr>
  </w:style>
  <w:style w:type="character" w:customStyle="1" w:styleId="ListLabel772">
    <w:name w:val="ListLabel 772"/>
    <w:qFormat/>
    <w:rPr>
      <w:rFonts w:cs="Garamond"/>
      <w:b/>
      <w:bCs/>
    </w:rPr>
  </w:style>
  <w:style w:type="character" w:customStyle="1" w:styleId="ListLabel773">
    <w:name w:val="ListLabel 773"/>
    <w:qFormat/>
    <w:rPr>
      <w:rFonts w:cs="Garamond"/>
      <w:b/>
      <w:bCs/>
    </w:rPr>
  </w:style>
  <w:style w:type="character" w:customStyle="1" w:styleId="ListLabel774">
    <w:name w:val="ListLabel 774"/>
    <w:qFormat/>
    <w:rPr>
      <w:rFonts w:cs="Garamond"/>
      <w:b/>
      <w:bCs/>
    </w:rPr>
  </w:style>
  <w:style w:type="character" w:customStyle="1" w:styleId="ListLabel775">
    <w:name w:val="ListLabel 775"/>
    <w:qFormat/>
    <w:rPr>
      <w:rFonts w:cs="Garamond"/>
      <w:b/>
      <w:bCs/>
    </w:rPr>
  </w:style>
  <w:style w:type="character" w:customStyle="1" w:styleId="ListLabel776">
    <w:name w:val="ListLabel 776"/>
    <w:qFormat/>
    <w:rPr>
      <w:rFonts w:cs="Garamond"/>
      <w:b/>
      <w:bCs/>
    </w:rPr>
  </w:style>
  <w:style w:type="character" w:customStyle="1" w:styleId="ListLabel777">
    <w:name w:val="ListLabel 777"/>
    <w:qFormat/>
    <w:rPr>
      <w:rFonts w:cs="Garamond"/>
      <w:b/>
      <w:bCs/>
    </w:rPr>
  </w:style>
  <w:style w:type="character" w:customStyle="1" w:styleId="ListLabel778">
    <w:name w:val="ListLabel 778"/>
    <w:qFormat/>
    <w:rPr>
      <w:rFonts w:ascii="Calibri" w:hAnsi="Calibri" w:cs="Garamond"/>
      <w:b/>
      <w:bCs/>
      <w:sz w:val="24"/>
    </w:rPr>
  </w:style>
  <w:style w:type="character" w:customStyle="1" w:styleId="ListLabel779">
    <w:name w:val="ListLabel 779"/>
    <w:qFormat/>
    <w:rPr>
      <w:rFonts w:cs="Garamond"/>
      <w:b/>
      <w:bCs/>
    </w:rPr>
  </w:style>
  <w:style w:type="character" w:customStyle="1" w:styleId="ListLabel780">
    <w:name w:val="ListLabel 780"/>
    <w:qFormat/>
    <w:rPr>
      <w:rFonts w:cs="Garamond"/>
      <w:b/>
      <w:bCs/>
    </w:rPr>
  </w:style>
  <w:style w:type="character" w:customStyle="1" w:styleId="ListLabel781">
    <w:name w:val="ListLabel 781"/>
    <w:qFormat/>
    <w:rPr>
      <w:rFonts w:cs="Garamond"/>
      <w:b/>
      <w:bCs/>
    </w:rPr>
  </w:style>
  <w:style w:type="character" w:customStyle="1" w:styleId="ListLabel782">
    <w:name w:val="ListLabel 782"/>
    <w:qFormat/>
    <w:rPr>
      <w:rFonts w:cs="Garamond"/>
      <w:b/>
      <w:bCs/>
    </w:rPr>
  </w:style>
  <w:style w:type="character" w:customStyle="1" w:styleId="ListLabel783">
    <w:name w:val="ListLabel 783"/>
    <w:qFormat/>
    <w:rPr>
      <w:rFonts w:cs="Garamond"/>
      <w:b/>
      <w:bCs/>
    </w:rPr>
  </w:style>
  <w:style w:type="character" w:customStyle="1" w:styleId="ListLabel784">
    <w:name w:val="ListLabel 784"/>
    <w:qFormat/>
    <w:rPr>
      <w:rFonts w:cs="Garamond"/>
      <w:b/>
      <w:bCs/>
    </w:rPr>
  </w:style>
  <w:style w:type="character" w:customStyle="1" w:styleId="ListLabel785">
    <w:name w:val="ListLabel 785"/>
    <w:qFormat/>
    <w:rPr>
      <w:rFonts w:cs="Garamond"/>
      <w:b/>
      <w:bCs/>
    </w:rPr>
  </w:style>
  <w:style w:type="character" w:customStyle="1" w:styleId="ListLabel786">
    <w:name w:val="ListLabel 786"/>
    <w:qFormat/>
    <w:rPr>
      <w:rFonts w:cs="Garamond"/>
      <w:b/>
      <w:bCs/>
    </w:rPr>
  </w:style>
  <w:style w:type="character" w:customStyle="1" w:styleId="ListLabel787">
    <w:name w:val="ListLabel 787"/>
    <w:qFormat/>
    <w:rPr>
      <w:rFonts w:ascii="Calibri" w:hAnsi="Calibri" w:cs="Garamond"/>
      <w:b/>
      <w:bCs/>
      <w:sz w:val="24"/>
    </w:rPr>
  </w:style>
  <w:style w:type="character" w:customStyle="1" w:styleId="ListLabel788">
    <w:name w:val="ListLabel 788"/>
    <w:qFormat/>
    <w:rPr>
      <w:rFonts w:ascii="Calibri" w:hAnsi="Calibri" w:cs="Garamond"/>
      <w:b/>
      <w:bCs/>
      <w:sz w:val="24"/>
    </w:rPr>
  </w:style>
  <w:style w:type="character" w:customStyle="1" w:styleId="ListLabel789">
    <w:name w:val="ListLabel 789"/>
    <w:qFormat/>
    <w:rPr>
      <w:rFonts w:cs="Garamond"/>
      <w:b/>
      <w:bCs/>
    </w:rPr>
  </w:style>
  <w:style w:type="character" w:customStyle="1" w:styleId="ListLabel790">
    <w:name w:val="ListLabel 790"/>
    <w:qFormat/>
    <w:rPr>
      <w:rFonts w:cs="Garamond"/>
      <w:b/>
      <w:bCs/>
    </w:rPr>
  </w:style>
  <w:style w:type="character" w:customStyle="1" w:styleId="ListLabel791">
    <w:name w:val="ListLabel 791"/>
    <w:qFormat/>
    <w:rPr>
      <w:rFonts w:cs="Garamond"/>
      <w:b/>
      <w:bCs/>
    </w:rPr>
  </w:style>
  <w:style w:type="character" w:customStyle="1" w:styleId="ListLabel792">
    <w:name w:val="ListLabel 792"/>
    <w:qFormat/>
    <w:rPr>
      <w:rFonts w:cs="Garamond"/>
      <w:b/>
      <w:bCs/>
    </w:rPr>
  </w:style>
  <w:style w:type="character" w:customStyle="1" w:styleId="ListLabel793">
    <w:name w:val="ListLabel 793"/>
    <w:qFormat/>
    <w:rPr>
      <w:rFonts w:cs="Garamond"/>
      <w:b/>
      <w:bCs/>
    </w:rPr>
  </w:style>
  <w:style w:type="character" w:customStyle="1" w:styleId="ListLabel794">
    <w:name w:val="ListLabel 794"/>
    <w:qFormat/>
    <w:rPr>
      <w:rFonts w:cs="Garamond"/>
      <w:b/>
      <w:bCs/>
    </w:rPr>
  </w:style>
  <w:style w:type="character" w:customStyle="1" w:styleId="ListLabel795">
    <w:name w:val="ListLabel 795"/>
    <w:qFormat/>
    <w:rPr>
      <w:rFonts w:cs="Garamond"/>
      <w:b/>
      <w:bCs/>
    </w:rPr>
  </w:style>
  <w:style w:type="character" w:customStyle="1" w:styleId="ListLabel796">
    <w:name w:val="ListLabel 796"/>
    <w:qFormat/>
    <w:rPr>
      <w:rFonts w:ascii="Calibri" w:hAnsi="Calibri" w:cs="Garamond"/>
      <w:b/>
      <w:bCs/>
      <w:sz w:val="24"/>
    </w:rPr>
  </w:style>
  <w:style w:type="character" w:customStyle="1" w:styleId="ListLabel797">
    <w:name w:val="ListLabel 797"/>
    <w:qFormat/>
    <w:rPr>
      <w:rFonts w:cs="Garamond"/>
      <w:b/>
      <w:bCs/>
    </w:rPr>
  </w:style>
  <w:style w:type="character" w:customStyle="1" w:styleId="ListLabel798">
    <w:name w:val="ListLabel 798"/>
    <w:qFormat/>
    <w:rPr>
      <w:rFonts w:cs="Garamond"/>
      <w:b/>
      <w:bCs/>
    </w:rPr>
  </w:style>
  <w:style w:type="character" w:customStyle="1" w:styleId="ListLabel799">
    <w:name w:val="ListLabel 799"/>
    <w:qFormat/>
    <w:rPr>
      <w:rFonts w:cs="Garamond"/>
      <w:b/>
      <w:bCs/>
    </w:rPr>
  </w:style>
  <w:style w:type="character" w:customStyle="1" w:styleId="ListLabel800">
    <w:name w:val="ListLabel 800"/>
    <w:qFormat/>
    <w:rPr>
      <w:rFonts w:cs="Garamond"/>
      <w:b/>
      <w:bCs/>
    </w:rPr>
  </w:style>
  <w:style w:type="character" w:customStyle="1" w:styleId="ListLabel801">
    <w:name w:val="ListLabel 801"/>
    <w:qFormat/>
    <w:rPr>
      <w:rFonts w:cs="Garamond"/>
      <w:b/>
      <w:bCs/>
    </w:rPr>
  </w:style>
  <w:style w:type="character" w:customStyle="1" w:styleId="ListLabel802">
    <w:name w:val="ListLabel 802"/>
    <w:qFormat/>
    <w:rPr>
      <w:rFonts w:cs="Garamond"/>
      <w:b/>
      <w:bCs/>
    </w:rPr>
  </w:style>
  <w:style w:type="character" w:customStyle="1" w:styleId="ListLabel803">
    <w:name w:val="ListLabel 803"/>
    <w:qFormat/>
    <w:rPr>
      <w:rFonts w:cs="Garamond"/>
      <w:b/>
      <w:bCs/>
    </w:rPr>
  </w:style>
  <w:style w:type="character" w:customStyle="1" w:styleId="ListLabel804">
    <w:name w:val="ListLabel 804"/>
    <w:qFormat/>
    <w:rPr>
      <w:rFonts w:cs="Garamond"/>
      <w:b/>
      <w:bCs/>
    </w:rPr>
  </w:style>
  <w:style w:type="character" w:customStyle="1" w:styleId="ListLabel805">
    <w:name w:val="ListLabel 805"/>
    <w:qFormat/>
    <w:rPr>
      <w:rFonts w:ascii="Calibri" w:hAnsi="Calibri" w:cs="Garamond"/>
      <w:b/>
      <w:bCs/>
      <w:sz w:val="24"/>
    </w:rPr>
  </w:style>
  <w:style w:type="character" w:customStyle="1" w:styleId="ListLabel806">
    <w:name w:val="ListLabel 806"/>
    <w:qFormat/>
    <w:rPr>
      <w:rFonts w:ascii="Calibri" w:hAnsi="Calibri" w:cs="Garamond"/>
      <w:b/>
      <w:bCs/>
      <w:sz w:val="24"/>
    </w:rPr>
  </w:style>
  <w:style w:type="character" w:customStyle="1" w:styleId="ListLabel807">
    <w:name w:val="ListLabel 807"/>
    <w:qFormat/>
    <w:rPr>
      <w:rFonts w:cs="Garamond"/>
      <w:b/>
      <w:bCs/>
    </w:rPr>
  </w:style>
  <w:style w:type="character" w:customStyle="1" w:styleId="ListLabel808">
    <w:name w:val="ListLabel 808"/>
    <w:qFormat/>
    <w:rPr>
      <w:rFonts w:cs="Garamond"/>
      <w:b/>
      <w:bCs/>
    </w:rPr>
  </w:style>
  <w:style w:type="character" w:customStyle="1" w:styleId="ListLabel809">
    <w:name w:val="ListLabel 809"/>
    <w:qFormat/>
    <w:rPr>
      <w:rFonts w:cs="Garamond"/>
      <w:b/>
      <w:bCs/>
    </w:rPr>
  </w:style>
  <w:style w:type="character" w:customStyle="1" w:styleId="ListLabel810">
    <w:name w:val="ListLabel 810"/>
    <w:qFormat/>
    <w:rPr>
      <w:rFonts w:cs="Garamond"/>
      <w:b/>
      <w:bCs/>
    </w:rPr>
  </w:style>
  <w:style w:type="character" w:customStyle="1" w:styleId="ListLabel811">
    <w:name w:val="ListLabel 811"/>
    <w:qFormat/>
    <w:rPr>
      <w:rFonts w:cs="Garamond"/>
      <w:b/>
      <w:bCs/>
    </w:rPr>
  </w:style>
  <w:style w:type="character" w:customStyle="1" w:styleId="ListLabel812">
    <w:name w:val="ListLabel 812"/>
    <w:qFormat/>
    <w:rPr>
      <w:rFonts w:cs="Garamond"/>
      <w:b/>
      <w:bCs/>
    </w:rPr>
  </w:style>
  <w:style w:type="character" w:customStyle="1" w:styleId="ListLabel813">
    <w:name w:val="ListLabel 813"/>
    <w:qFormat/>
    <w:rPr>
      <w:rFonts w:cs="Garamond"/>
      <w:b/>
      <w:bCs/>
    </w:rPr>
  </w:style>
  <w:style w:type="character" w:customStyle="1" w:styleId="ListLabel814">
    <w:name w:val="ListLabel 814"/>
    <w:qFormat/>
    <w:rPr>
      <w:rFonts w:ascii="Calibri" w:hAnsi="Calibri" w:cs="Garamond"/>
      <w:b/>
      <w:bCs/>
      <w:sz w:val="24"/>
    </w:rPr>
  </w:style>
  <w:style w:type="character" w:customStyle="1" w:styleId="ListLabel815">
    <w:name w:val="ListLabel 815"/>
    <w:qFormat/>
    <w:rPr>
      <w:rFonts w:cs="Garamond"/>
      <w:b/>
      <w:bCs/>
    </w:rPr>
  </w:style>
  <w:style w:type="character" w:customStyle="1" w:styleId="ListLabel816">
    <w:name w:val="ListLabel 816"/>
    <w:qFormat/>
    <w:rPr>
      <w:rFonts w:cs="Garamond"/>
      <w:b/>
      <w:bCs/>
    </w:rPr>
  </w:style>
  <w:style w:type="character" w:customStyle="1" w:styleId="ListLabel817">
    <w:name w:val="ListLabel 817"/>
    <w:qFormat/>
    <w:rPr>
      <w:rFonts w:cs="Garamond"/>
      <w:b/>
      <w:bCs/>
    </w:rPr>
  </w:style>
  <w:style w:type="character" w:customStyle="1" w:styleId="ListLabel818">
    <w:name w:val="ListLabel 818"/>
    <w:qFormat/>
    <w:rPr>
      <w:rFonts w:cs="Garamond"/>
      <w:b/>
      <w:bCs/>
    </w:rPr>
  </w:style>
  <w:style w:type="character" w:customStyle="1" w:styleId="ListLabel819">
    <w:name w:val="ListLabel 819"/>
    <w:qFormat/>
    <w:rPr>
      <w:rFonts w:cs="Garamond"/>
      <w:b/>
      <w:bCs/>
    </w:rPr>
  </w:style>
  <w:style w:type="character" w:customStyle="1" w:styleId="ListLabel820">
    <w:name w:val="ListLabel 820"/>
    <w:qFormat/>
    <w:rPr>
      <w:rFonts w:cs="Garamond"/>
      <w:b/>
      <w:bCs/>
    </w:rPr>
  </w:style>
  <w:style w:type="character" w:customStyle="1" w:styleId="ListLabel821">
    <w:name w:val="ListLabel 821"/>
    <w:qFormat/>
    <w:rPr>
      <w:rFonts w:cs="Garamond"/>
      <w:b/>
      <w:bCs/>
    </w:rPr>
  </w:style>
  <w:style w:type="character" w:customStyle="1" w:styleId="ListLabel822">
    <w:name w:val="ListLabel 822"/>
    <w:qFormat/>
    <w:rPr>
      <w:rFonts w:cs="Garamond"/>
      <w:b/>
      <w:bCs/>
    </w:rPr>
  </w:style>
  <w:style w:type="character" w:customStyle="1" w:styleId="ListLabel823">
    <w:name w:val="ListLabel 823"/>
    <w:qFormat/>
    <w:rPr>
      <w:rFonts w:ascii="Calibri" w:hAnsi="Calibri" w:cs="Garamond"/>
      <w:b/>
      <w:bCs/>
      <w:sz w:val="24"/>
    </w:rPr>
  </w:style>
  <w:style w:type="character" w:customStyle="1" w:styleId="ListLabel824">
    <w:name w:val="ListLabel 824"/>
    <w:qFormat/>
    <w:rPr>
      <w:rFonts w:cs="Garamond"/>
      <w:b/>
      <w:bCs/>
    </w:rPr>
  </w:style>
  <w:style w:type="character" w:customStyle="1" w:styleId="ListLabel825">
    <w:name w:val="ListLabel 825"/>
    <w:qFormat/>
    <w:rPr>
      <w:rFonts w:cs="Garamond"/>
      <w:b/>
      <w:bCs/>
    </w:rPr>
  </w:style>
  <w:style w:type="character" w:customStyle="1" w:styleId="ListLabel826">
    <w:name w:val="ListLabel 826"/>
    <w:qFormat/>
    <w:rPr>
      <w:rFonts w:cs="Garamond"/>
      <w:b/>
      <w:bCs/>
    </w:rPr>
  </w:style>
  <w:style w:type="character" w:customStyle="1" w:styleId="ListLabel827">
    <w:name w:val="ListLabel 827"/>
    <w:qFormat/>
    <w:rPr>
      <w:rFonts w:cs="Garamond"/>
      <w:b/>
      <w:bCs/>
    </w:rPr>
  </w:style>
  <w:style w:type="character" w:customStyle="1" w:styleId="ListLabel828">
    <w:name w:val="ListLabel 828"/>
    <w:qFormat/>
    <w:rPr>
      <w:rFonts w:cs="Garamond"/>
      <w:b/>
      <w:bCs/>
    </w:rPr>
  </w:style>
  <w:style w:type="character" w:customStyle="1" w:styleId="ListLabel829">
    <w:name w:val="ListLabel 829"/>
    <w:qFormat/>
    <w:rPr>
      <w:rFonts w:cs="Garamond"/>
      <w:b/>
      <w:bCs/>
    </w:rPr>
  </w:style>
  <w:style w:type="character" w:customStyle="1" w:styleId="ListLabel830">
    <w:name w:val="ListLabel 830"/>
    <w:qFormat/>
    <w:rPr>
      <w:rFonts w:cs="Garamond"/>
      <w:b/>
      <w:bCs/>
    </w:rPr>
  </w:style>
  <w:style w:type="character" w:customStyle="1" w:styleId="ListLabel831">
    <w:name w:val="ListLabel 831"/>
    <w:qFormat/>
    <w:rPr>
      <w:rFonts w:cs="Garamond"/>
      <w:b/>
      <w:bCs/>
    </w:rPr>
  </w:style>
  <w:style w:type="character" w:customStyle="1" w:styleId="ListLabel832">
    <w:name w:val="ListLabel 832"/>
    <w:qFormat/>
    <w:rPr>
      <w:rFonts w:ascii="Calibri" w:hAnsi="Calibri" w:cs="Garamond"/>
      <w:b/>
      <w:bCs/>
      <w:sz w:val="24"/>
    </w:rPr>
  </w:style>
  <w:style w:type="character" w:customStyle="1" w:styleId="ListLabel833">
    <w:name w:val="ListLabel 833"/>
    <w:qFormat/>
    <w:rPr>
      <w:rFonts w:cs="Garamond"/>
      <w:b/>
      <w:bCs/>
    </w:rPr>
  </w:style>
  <w:style w:type="character" w:customStyle="1" w:styleId="ListLabel834">
    <w:name w:val="ListLabel 834"/>
    <w:qFormat/>
    <w:rPr>
      <w:rFonts w:cs="Garamond"/>
      <w:b/>
      <w:bCs/>
    </w:rPr>
  </w:style>
  <w:style w:type="character" w:customStyle="1" w:styleId="ListLabel835">
    <w:name w:val="ListLabel 835"/>
    <w:qFormat/>
    <w:rPr>
      <w:rFonts w:cs="Garamond"/>
      <w:b/>
      <w:bCs/>
    </w:rPr>
  </w:style>
  <w:style w:type="character" w:customStyle="1" w:styleId="ListLabel836">
    <w:name w:val="ListLabel 836"/>
    <w:qFormat/>
    <w:rPr>
      <w:rFonts w:cs="Garamond"/>
      <w:b/>
      <w:bCs/>
    </w:rPr>
  </w:style>
  <w:style w:type="character" w:customStyle="1" w:styleId="ListLabel837">
    <w:name w:val="ListLabel 837"/>
    <w:qFormat/>
    <w:rPr>
      <w:rFonts w:cs="Garamond"/>
      <w:b/>
      <w:bCs/>
    </w:rPr>
  </w:style>
  <w:style w:type="character" w:customStyle="1" w:styleId="ListLabel838">
    <w:name w:val="ListLabel 838"/>
    <w:qFormat/>
    <w:rPr>
      <w:rFonts w:cs="Garamond"/>
      <w:b/>
      <w:bCs/>
    </w:rPr>
  </w:style>
  <w:style w:type="character" w:customStyle="1" w:styleId="ListLabel839">
    <w:name w:val="ListLabel 839"/>
    <w:qFormat/>
    <w:rPr>
      <w:rFonts w:cs="Garamond"/>
      <w:b/>
      <w:bCs/>
    </w:rPr>
  </w:style>
  <w:style w:type="character" w:customStyle="1" w:styleId="ListLabel840">
    <w:name w:val="ListLabel 840"/>
    <w:qFormat/>
    <w:rPr>
      <w:rFonts w:cs="Garamond"/>
      <w:b/>
      <w:bCs/>
    </w:rPr>
  </w:style>
  <w:style w:type="character" w:customStyle="1" w:styleId="ListLabel841">
    <w:name w:val="ListLabel 841"/>
    <w:qFormat/>
    <w:rPr>
      <w:rFonts w:cs="Garamond"/>
      <w:b/>
      <w:bCs/>
      <w:sz w:val="24"/>
    </w:rPr>
  </w:style>
  <w:style w:type="character" w:customStyle="1" w:styleId="ListLabel842">
    <w:name w:val="ListLabel 842"/>
    <w:qFormat/>
    <w:rPr>
      <w:rFonts w:cs="Garamond"/>
      <w:b/>
      <w:bCs/>
    </w:rPr>
  </w:style>
  <w:style w:type="character" w:customStyle="1" w:styleId="ListLabel843">
    <w:name w:val="ListLabel 843"/>
    <w:qFormat/>
    <w:rPr>
      <w:rFonts w:cs="Garamond"/>
      <w:b/>
      <w:bCs/>
    </w:rPr>
  </w:style>
  <w:style w:type="character" w:customStyle="1" w:styleId="ListLabel844">
    <w:name w:val="ListLabel 844"/>
    <w:qFormat/>
    <w:rPr>
      <w:rFonts w:cs="Garamond"/>
      <w:b/>
      <w:bCs/>
    </w:rPr>
  </w:style>
  <w:style w:type="character" w:customStyle="1" w:styleId="ListLabel845">
    <w:name w:val="ListLabel 845"/>
    <w:qFormat/>
    <w:rPr>
      <w:rFonts w:cs="Garamond"/>
      <w:b/>
      <w:bCs/>
    </w:rPr>
  </w:style>
  <w:style w:type="character" w:customStyle="1" w:styleId="ListLabel846">
    <w:name w:val="ListLabel 846"/>
    <w:qFormat/>
    <w:rPr>
      <w:rFonts w:cs="Garamond"/>
      <w:b/>
      <w:bCs/>
    </w:rPr>
  </w:style>
  <w:style w:type="character" w:customStyle="1" w:styleId="ListLabel847">
    <w:name w:val="ListLabel 847"/>
    <w:qFormat/>
    <w:rPr>
      <w:rFonts w:cs="Garamond"/>
      <w:b/>
      <w:bCs/>
    </w:rPr>
  </w:style>
  <w:style w:type="character" w:customStyle="1" w:styleId="ListLabel848">
    <w:name w:val="ListLabel 848"/>
    <w:qFormat/>
    <w:rPr>
      <w:rFonts w:cs="Garamond"/>
      <w:b/>
      <w:bCs/>
    </w:rPr>
  </w:style>
  <w:style w:type="character" w:customStyle="1" w:styleId="ListLabel849">
    <w:name w:val="ListLabel 849"/>
    <w:qFormat/>
    <w:rPr>
      <w:rFonts w:cs="Garamond"/>
      <w:b/>
      <w:bCs/>
    </w:rPr>
  </w:style>
  <w:style w:type="character" w:customStyle="1" w:styleId="ListLabel850">
    <w:name w:val="ListLabel 850"/>
    <w:qFormat/>
    <w:rPr>
      <w:rFonts w:ascii="Calibri" w:hAnsi="Calibri" w:cs="Garamond"/>
      <w:b/>
      <w:bCs/>
      <w:sz w:val="24"/>
    </w:rPr>
  </w:style>
  <w:style w:type="character" w:customStyle="1" w:styleId="ListLabel851">
    <w:name w:val="ListLabel 851"/>
    <w:qFormat/>
    <w:rPr>
      <w:rFonts w:cs="Garamond"/>
      <w:b/>
      <w:bCs/>
    </w:rPr>
  </w:style>
  <w:style w:type="character" w:customStyle="1" w:styleId="ListLabel852">
    <w:name w:val="ListLabel 852"/>
    <w:qFormat/>
    <w:rPr>
      <w:rFonts w:cs="Garamond"/>
      <w:b/>
      <w:bCs/>
    </w:rPr>
  </w:style>
  <w:style w:type="character" w:customStyle="1" w:styleId="ListLabel853">
    <w:name w:val="ListLabel 853"/>
    <w:qFormat/>
    <w:rPr>
      <w:rFonts w:cs="Garamond"/>
      <w:b/>
      <w:bCs/>
    </w:rPr>
  </w:style>
  <w:style w:type="character" w:customStyle="1" w:styleId="ListLabel854">
    <w:name w:val="ListLabel 854"/>
    <w:qFormat/>
    <w:rPr>
      <w:rFonts w:cs="Garamond"/>
      <w:b/>
      <w:bCs/>
    </w:rPr>
  </w:style>
  <w:style w:type="character" w:customStyle="1" w:styleId="ListLabel855">
    <w:name w:val="ListLabel 855"/>
    <w:qFormat/>
    <w:rPr>
      <w:rFonts w:cs="Garamond"/>
      <w:b/>
      <w:bCs/>
    </w:rPr>
  </w:style>
  <w:style w:type="character" w:customStyle="1" w:styleId="ListLabel856">
    <w:name w:val="ListLabel 856"/>
    <w:qFormat/>
    <w:rPr>
      <w:rFonts w:cs="Garamond"/>
      <w:b/>
      <w:bCs/>
    </w:rPr>
  </w:style>
  <w:style w:type="character" w:customStyle="1" w:styleId="ListLabel857">
    <w:name w:val="ListLabel 857"/>
    <w:qFormat/>
    <w:rPr>
      <w:rFonts w:cs="Garamond"/>
      <w:b/>
      <w:bCs/>
    </w:rPr>
  </w:style>
  <w:style w:type="character" w:customStyle="1" w:styleId="ListLabel858">
    <w:name w:val="ListLabel 858"/>
    <w:qFormat/>
    <w:rPr>
      <w:rFonts w:cs="Garamond"/>
      <w:b/>
      <w:bCs/>
    </w:rPr>
  </w:style>
  <w:style w:type="character" w:customStyle="1" w:styleId="ListLabel859">
    <w:name w:val="ListLabel 859"/>
    <w:qFormat/>
    <w:rPr>
      <w:rFonts w:ascii="Calibri" w:hAnsi="Calibri" w:cs="Garamond"/>
      <w:b/>
      <w:bCs/>
      <w:sz w:val="24"/>
    </w:rPr>
  </w:style>
  <w:style w:type="character" w:customStyle="1" w:styleId="ListLabel860">
    <w:name w:val="ListLabel 860"/>
    <w:qFormat/>
    <w:rPr>
      <w:rFonts w:cs="Garamond"/>
      <w:b/>
      <w:bCs/>
    </w:rPr>
  </w:style>
  <w:style w:type="character" w:customStyle="1" w:styleId="ListLabel861">
    <w:name w:val="ListLabel 861"/>
    <w:qFormat/>
    <w:rPr>
      <w:rFonts w:cs="Garamond"/>
      <w:b/>
      <w:bCs/>
    </w:rPr>
  </w:style>
  <w:style w:type="character" w:customStyle="1" w:styleId="ListLabel862">
    <w:name w:val="ListLabel 862"/>
    <w:qFormat/>
    <w:rPr>
      <w:rFonts w:cs="Garamond"/>
      <w:b/>
      <w:bCs/>
    </w:rPr>
  </w:style>
  <w:style w:type="character" w:customStyle="1" w:styleId="ListLabel863">
    <w:name w:val="ListLabel 863"/>
    <w:qFormat/>
    <w:rPr>
      <w:rFonts w:cs="Garamond"/>
      <w:b/>
      <w:bCs/>
    </w:rPr>
  </w:style>
  <w:style w:type="character" w:customStyle="1" w:styleId="ListLabel864">
    <w:name w:val="ListLabel 864"/>
    <w:qFormat/>
    <w:rPr>
      <w:rFonts w:cs="Garamond"/>
      <w:b/>
      <w:bCs/>
    </w:rPr>
  </w:style>
  <w:style w:type="character" w:customStyle="1" w:styleId="ListLabel865">
    <w:name w:val="ListLabel 865"/>
    <w:qFormat/>
    <w:rPr>
      <w:rFonts w:cs="Garamond"/>
      <w:b/>
      <w:bCs/>
    </w:rPr>
  </w:style>
  <w:style w:type="character" w:customStyle="1" w:styleId="ListLabel866">
    <w:name w:val="ListLabel 866"/>
    <w:qFormat/>
    <w:rPr>
      <w:rFonts w:cs="Garamond"/>
      <w:b/>
      <w:bCs/>
    </w:rPr>
  </w:style>
  <w:style w:type="character" w:customStyle="1" w:styleId="ListLabel867">
    <w:name w:val="ListLabel 867"/>
    <w:qFormat/>
    <w:rPr>
      <w:rFonts w:cs="Garamond"/>
      <w:b/>
      <w:bCs/>
    </w:rPr>
  </w:style>
  <w:style w:type="character" w:customStyle="1" w:styleId="ListLabel868">
    <w:name w:val="ListLabel 868"/>
    <w:qFormat/>
    <w:rPr>
      <w:rFonts w:ascii="Calibri" w:hAnsi="Calibri" w:cs="Garamond"/>
      <w:b/>
      <w:bCs/>
      <w:sz w:val="24"/>
    </w:rPr>
  </w:style>
  <w:style w:type="character" w:customStyle="1" w:styleId="ListLabel869">
    <w:name w:val="ListLabel 869"/>
    <w:qFormat/>
    <w:rPr>
      <w:rFonts w:cs="Garamond"/>
      <w:b/>
      <w:bCs/>
    </w:rPr>
  </w:style>
  <w:style w:type="character" w:customStyle="1" w:styleId="ListLabel870">
    <w:name w:val="ListLabel 870"/>
    <w:qFormat/>
    <w:rPr>
      <w:rFonts w:cs="Garamond"/>
      <w:b/>
      <w:bCs/>
    </w:rPr>
  </w:style>
  <w:style w:type="character" w:customStyle="1" w:styleId="ListLabel871">
    <w:name w:val="ListLabel 871"/>
    <w:qFormat/>
    <w:rPr>
      <w:rFonts w:cs="Garamond"/>
      <w:b/>
      <w:bCs/>
    </w:rPr>
  </w:style>
  <w:style w:type="character" w:customStyle="1" w:styleId="ListLabel872">
    <w:name w:val="ListLabel 872"/>
    <w:qFormat/>
    <w:rPr>
      <w:rFonts w:cs="Garamond"/>
      <w:b/>
      <w:bCs/>
    </w:rPr>
  </w:style>
  <w:style w:type="character" w:customStyle="1" w:styleId="ListLabel873">
    <w:name w:val="ListLabel 873"/>
    <w:qFormat/>
    <w:rPr>
      <w:rFonts w:cs="Garamond"/>
      <w:b/>
      <w:bCs/>
    </w:rPr>
  </w:style>
  <w:style w:type="character" w:customStyle="1" w:styleId="ListLabel874">
    <w:name w:val="ListLabel 874"/>
    <w:qFormat/>
    <w:rPr>
      <w:rFonts w:cs="Garamond"/>
      <w:b/>
      <w:bCs/>
    </w:rPr>
  </w:style>
  <w:style w:type="character" w:customStyle="1" w:styleId="ListLabel875">
    <w:name w:val="ListLabel 875"/>
    <w:qFormat/>
    <w:rPr>
      <w:rFonts w:cs="Garamond"/>
      <w:b/>
      <w:bCs/>
    </w:rPr>
  </w:style>
  <w:style w:type="character" w:customStyle="1" w:styleId="ListLabel876">
    <w:name w:val="ListLabel 876"/>
    <w:qFormat/>
    <w:rPr>
      <w:rFonts w:cs="Garamond"/>
      <w:b/>
      <w:bCs/>
    </w:rPr>
  </w:style>
  <w:style w:type="character" w:customStyle="1" w:styleId="ListLabel877">
    <w:name w:val="ListLabel 877"/>
    <w:qFormat/>
    <w:rPr>
      <w:rFonts w:ascii="Calibri" w:hAnsi="Calibri" w:cs="Garamond"/>
      <w:b/>
      <w:bCs/>
      <w:sz w:val="24"/>
    </w:rPr>
  </w:style>
  <w:style w:type="character" w:customStyle="1" w:styleId="ListLabel878">
    <w:name w:val="ListLabel 878"/>
    <w:qFormat/>
    <w:rPr>
      <w:rFonts w:cs="Garamond"/>
      <w:b/>
      <w:bCs/>
    </w:rPr>
  </w:style>
  <w:style w:type="character" w:customStyle="1" w:styleId="ListLabel879">
    <w:name w:val="ListLabel 879"/>
    <w:qFormat/>
    <w:rPr>
      <w:rFonts w:cs="Garamond"/>
      <w:b/>
      <w:bCs/>
    </w:rPr>
  </w:style>
  <w:style w:type="character" w:customStyle="1" w:styleId="ListLabel880">
    <w:name w:val="ListLabel 880"/>
    <w:qFormat/>
    <w:rPr>
      <w:rFonts w:cs="Garamond"/>
      <w:b/>
      <w:bCs/>
    </w:rPr>
  </w:style>
  <w:style w:type="character" w:customStyle="1" w:styleId="ListLabel881">
    <w:name w:val="ListLabel 881"/>
    <w:qFormat/>
    <w:rPr>
      <w:rFonts w:cs="Garamond"/>
      <w:b/>
      <w:bCs/>
    </w:rPr>
  </w:style>
  <w:style w:type="character" w:customStyle="1" w:styleId="ListLabel882">
    <w:name w:val="ListLabel 882"/>
    <w:qFormat/>
    <w:rPr>
      <w:rFonts w:cs="Garamond"/>
      <w:b/>
      <w:bCs/>
    </w:rPr>
  </w:style>
  <w:style w:type="character" w:customStyle="1" w:styleId="ListLabel883">
    <w:name w:val="ListLabel 883"/>
    <w:qFormat/>
    <w:rPr>
      <w:rFonts w:cs="Garamond"/>
      <w:b/>
      <w:bCs/>
    </w:rPr>
  </w:style>
  <w:style w:type="character" w:customStyle="1" w:styleId="ListLabel884">
    <w:name w:val="ListLabel 884"/>
    <w:qFormat/>
    <w:rPr>
      <w:rFonts w:cs="Garamond"/>
      <w:b/>
      <w:bCs/>
    </w:rPr>
  </w:style>
  <w:style w:type="character" w:customStyle="1" w:styleId="ListLabel885">
    <w:name w:val="ListLabel 885"/>
    <w:qFormat/>
    <w:rPr>
      <w:rFonts w:cs="Garamond"/>
      <w:b/>
      <w:bCs/>
    </w:rPr>
  </w:style>
  <w:style w:type="character" w:customStyle="1" w:styleId="ListLabel886">
    <w:name w:val="ListLabel 886"/>
    <w:qFormat/>
    <w:rPr>
      <w:rFonts w:ascii="Calibri" w:hAnsi="Calibri" w:cs="Garamond"/>
      <w:b/>
      <w:bCs/>
      <w:sz w:val="24"/>
    </w:rPr>
  </w:style>
  <w:style w:type="character" w:customStyle="1" w:styleId="ListLabel887">
    <w:name w:val="ListLabel 887"/>
    <w:qFormat/>
    <w:rPr>
      <w:rFonts w:cs="Garamond"/>
      <w:b/>
      <w:bCs/>
    </w:rPr>
  </w:style>
  <w:style w:type="character" w:customStyle="1" w:styleId="ListLabel888">
    <w:name w:val="ListLabel 888"/>
    <w:qFormat/>
    <w:rPr>
      <w:rFonts w:cs="Garamond"/>
      <w:b/>
      <w:bCs/>
    </w:rPr>
  </w:style>
  <w:style w:type="character" w:customStyle="1" w:styleId="ListLabel889">
    <w:name w:val="ListLabel 889"/>
    <w:qFormat/>
    <w:rPr>
      <w:rFonts w:cs="Garamond"/>
      <w:b/>
      <w:bCs/>
    </w:rPr>
  </w:style>
  <w:style w:type="character" w:customStyle="1" w:styleId="ListLabel890">
    <w:name w:val="ListLabel 890"/>
    <w:qFormat/>
    <w:rPr>
      <w:rFonts w:cs="Garamond"/>
      <w:b/>
      <w:bCs/>
    </w:rPr>
  </w:style>
  <w:style w:type="character" w:customStyle="1" w:styleId="ListLabel891">
    <w:name w:val="ListLabel 891"/>
    <w:qFormat/>
    <w:rPr>
      <w:rFonts w:cs="Garamond"/>
      <w:b/>
      <w:bCs/>
    </w:rPr>
  </w:style>
  <w:style w:type="character" w:customStyle="1" w:styleId="ListLabel892">
    <w:name w:val="ListLabel 892"/>
    <w:qFormat/>
    <w:rPr>
      <w:rFonts w:cs="Garamond"/>
      <w:b/>
      <w:bCs/>
    </w:rPr>
  </w:style>
  <w:style w:type="character" w:customStyle="1" w:styleId="ListLabel893">
    <w:name w:val="ListLabel 893"/>
    <w:qFormat/>
    <w:rPr>
      <w:rFonts w:cs="Garamond"/>
      <w:b/>
      <w:bCs/>
    </w:rPr>
  </w:style>
  <w:style w:type="character" w:customStyle="1" w:styleId="ListLabel894">
    <w:name w:val="ListLabel 894"/>
    <w:qFormat/>
    <w:rPr>
      <w:rFonts w:cs="Garamond"/>
      <w:b/>
      <w:bCs/>
    </w:rPr>
  </w:style>
  <w:style w:type="character" w:customStyle="1" w:styleId="ListLabel895">
    <w:name w:val="ListLabel 895"/>
    <w:qFormat/>
    <w:rPr>
      <w:rFonts w:ascii="Calibri" w:hAnsi="Calibri" w:cs="Garamond"/>
      <w:b/>
      <w:bCs/>
      <w:sz w:val="24"/>
    </w:rPr>
  </w:style>
  <w:style w:type="character" w:customStyle="1" w:styleId="ListLabel896">
    <w:name w:val="ListLabel 896"/>
    <w:qFormat/>
    <w:rPr>
      <w:rFonts w:cs="Garamond"/>
      <w:b/>
      <w:bCs/>
    </w:rPr>
  </w:style>
  <w:style w:type="character" w:customStyle="1" w:styleId="ListLabel897">
    <w:name w:val="ListLabel 897"/>
    <w:qFormat/>
    <w:rPr>
      <w:rFonts w:cs="Garamond"/>
      <w:b/>
      <w:bCs/>
    </w:rPr>
  </w:style>
  <w:style w:type="character" w:customStyle="1" w:styleId="ListLabel898">
    <w:name w:val="ListLabel 898"/>
    <w:qFormat/>
    <w:rPr>
      <w:rFonts w:cs="Garamond"/>
      <w:b/>
      <w:bCs/>
    </w:rPr>
  </w:style>
  <w:style w:type="character" w:customStyle="1" w:styleId="ListLabel899">
    <w:name w:val="ListLabel 899"/>
    <w:qFormat/>
    <w:rPr>
      <w:rFonts w:cs="Garamond"/>
      <w:b/>
      <w:bCs/>
    </w:rPr>
  </w:style>
  <w:style w:type="character" w:customStyle="1" w:styleId="ListLabel900">
    <w:name w:val="ListLabel 900"/>
    <w:qFormat/>
    <w:rPr>
      <w:rFonts w:cs="Garamond"/>
      <w:b/>
      <w:bCs/>
    </w:rPr>
  </w:style>
  <w:style w:type="character" w:customStyle="1" w:styleId="ListLabel901">
    <w:name w:val="ListLabel 901"/>
    <w:qFormat/>
    <w:rPr>
      <w:rFonts w:cs="Garamond"/>
      <w:b/>
      <w:bCs/>
    </w:rPr>
  </w:style>
  <w:style w:type="character" w:customStyle="1" w:styleId="ListLabel902">
    <w:name w:val="ListLabel 902"/>
    <w:qFormat/>
    <w:rPr>
      <w:rFonts w:cs="Garamond"/>
      <w:b/>
      <w:bCs/>
    </w:rPr>
  </w:style>
  <w:style w:type="character" w:customStyle="1" w:styleId="ListLabel903">
    <w:name w:val="ListLabel 903"/>
    <w:qFormat/>
    <w:rPr>
      <w:rFonts w:cs="Garamond"/>
      <w:b/>
      <w:bCs/>
    </w:rPr>
  </w:style>
  <w:style w:type="character" w:customStyle="1" w:styleId="ListLabel904">
    <w:name w:val="ListLabel 904"/>
    <w:qFormat/>
    <w:rPr>
      <w:rFonts w:ascii="Calibri" w:hAnsi="Calibri" w:cs="Garamond"/>
      <w:b/>
      <w:bCs/>
      <w:sz w:val="24"/>
    </w:rPr>
  </w:style>
  <w:style w:type="character" w:customStyle="1" w:styleId="ListLabel905">
    <w:name w:val="ListLabel 905"/>
    <w:qFormat/>
    <w:rPr>
      <w:rFonts w:ascii="Calibri" w:hAnsi="Calibri" w:cs="Garamond"/>
      <w:b/>
      <w:bCs/>
      <w:sz w:val="24"/>
    </w:rPr>
  </w:style>
  <w:style w:type="character" w:customStyle="1" w:styleId="ListLabel906">
    <w:name w:val="ListLabel 906"/>
    <w:qFormat/>
    <w:rPr>
      <w:rFonts w:cs="Garamond"/>
      <w:b/>
      <w:bCs/>
    </w:rPr>
  </w:style>
  <w:style w:type="character" w:customStyle="1" w:styleId="ListLabel907">
    <w:name w:val="ListLabel 907"/>
    <w:qFormat/>
    <w:rPr>
      <w:rFonts w:cs="Garamond"/>
      <w:b/>
      <w:bCs/>
    </w:rPr>
  </w:style>
  <w:style w:type="character" w:customStyle="1" w:styleId="ListLabel908">
    <w:name w:val="ListLabel 908"/>
    <w:qFormat/>
    <w:rPr>
      <w:rFonts w:cs="Garamond"/>
      <w:b/>
      <w:bCs/>
    </w:rPr>
  </w:style>
  <w:style w:type="character" w:customStyle="1" w:styleId="ListLabel909">
    <w:name w:val="ListLabel 909"/>
    <w:qFormat/>
    <w:rPr>
      <w:rFonts w:cs="Garamond"/>
      <w:b/>
      <w:bCs/>
    </w:rPr>
  </w:style>
  <w:style w:type="character" w:customStyle="1" w:styleId="ListLabel910">
    <w:name w:val="ListLabel 910"/>
    <w:qFormat/>
    <w:rPr>
      <w:rFonts w:cs="Garamond"/>
      <w:b/>
      <w:bCs/>
    </w:rPr>
  </w:style>
  <w:style w:type="character" w:customStyle="1" w:styleId="ListLabel911">
    <w:name w:val="ListLabel 911"/>
    <w:qFormat/>
    <w:rPr>
      <w:rFonts w:cs="Garamond"/>
      <w:b/>
      <w:bCs/>
    </w:rPr>
  </w:style>
  <w:style w:type="character" w:customStyle="1" w:styleId="ListLabel912">
    <w:name w:val="ListLabel 912"/>
    <w:qFormat/>
    <w:rPr>
      <w:rFonts w:cs="Garamond"/>
      <w:b/>
      <w:bCs/>
    </w:rPr>
  </w:style>
  <w:style w:type="character" w:customStyle="1" w:styleId="ListLabel913">
    <w:name w:val="ListLabel 913"/>
    <w:qFormat/>
    <w:rPr>
      <w:rFonts w:ascii="Calibri" w:hAnsi="Calibri" w:cs="Garamond"/>
      <w:b/>
      <w:bCs/>
      <w:sz w:val="24"/>
    </w:rPr>
  </w:style>
  <w:style w:type="character" w:customStyle="1" w:styleId="ListLabel914">
    <w:name w:val="ListLabel 914"/>
    <w:qFormat/>
    <w:rPr>
      <w:rFonts w:cs="Garamond"/>
      <w:b/>
      <w:bCs/>
    </w:rPr>
  </w:style>
  <w:style w:type="character" w:customStyle="1" w:styleId="ListLabel915">
    <w:name w:val="ListLabel 915"/>
    <w:qFormat/>
    <w:rPr>
      <w:rFonts w:cs="Garamond"/>
      <w:b/>
      <w:bCs/>
    </w:rPr>
  </w:style>
  <w:style w:type="character" w:customStyle="1" w:styleId="ListLabel916">
    <w:name w:val="ListLabel 916"/>
    <w:qFormat/>
    <w:rPr>
      <w:rFonts w:cs="Garamond"/>
      <w:b/>
      <w:bCs/>
    </w:rPr>
  </w:style>
  <w:style w:type="character" w:customStyle="1" w:styleId="ListLabel917">
    <w:name w:val="ListLabel 917"/>
    <w:qFormat/>
    <w:rPr>
      <w:rFonts w:cs="Garamond"/>
      <w:b/>
      <w:bCs/>
    </w:rPr>
  </w:style>
  <w:style w:type="character" w:customStyle="1" w:styleId="ListLabel918">
    <w:name w:val="ListLabel 918"/>
    <w:qFormat/>
    <w:rPr>
      <w:rFonts w:cs="Garamond"/>
      <w:b/>
      <w:bCs/>
    </w:rPr>
  </w:style>
  <w:style w:type="character" w:customStyle="1" w:styleId="ListLabel919">
    <w:name w:val="ListLabel 919"/>
    <w:qFormat/>
    <w:rPr>
      <w:rFonts w:cs="Garamond"/>
      <w:b/>
      <w:bCs/>
    </w:rPr>
  </w:style>
  <w:style w:type="character" w:customStyle="1" w:styleId="ListLabel920">
    <w:name w:val="ListLabel 920"/>
    <w:qFormat/>
    <w:rPr>
      <w:rFonts w:cs="Garamond"/>
      <w:b/>
      <w:bCs/>
    </w:rPr>
  </w:style>
  <w:style w:type="character" w:customStyle="1" w:styleId="ListLabel921">
    <w:name w:val="ListLabel 921"/>
    <w:qFormat/>
    <w:rPr>
      <w:rFonts w:cs="Garamond"/>
      <w:b/>
      <w:bCs/>
    </w:rPr>
  </w:style>
  <w:style w:type="character" w:customStyle="1" w:styleId="ListLabel922">
    <w:name w:val="ListLabel 922"/>
    <w:qFormat/>
    <w:rPr>
      <w:rFonts w:ascii="Calibri" w:hAnsi="Calibri" w:cs="Garamond"/>
      <w:b/>
      <w:bCs/>
      <w:sz w:val="24"/>
    </w:rPr>
  </w:style>
  <w:style w:type="character" w:customStyle="1" w:styleId="ListLabel923">
    <w:name w:val="ListLabel 923"/>
    <w:qFormat/>
    <w:rPr>
      <w:rFonts w:ascii="Calibri" w:hAnsi="Calibri" w:cs="Garamond"/>
      <w:b/>
      <w:bCs/>
      <w:sz w:val="24"/>
    </w:rPr>
  </w:style>
  <w:style w:type="character" w:customStyle="1" w:styleId="ListLabel924">
    <w:name w:val="ListLabel 924"/>
    <w:qFormat/>
    <w:rPr>
      <w:rFonts w:cs="Garamond"/>
      <w:b/>
      <w:bCs/>
    </w:rPr>
  </w:style>
  <w:style w:type="character" w:customStyle="1" w:styleId="ListLabel925">
    <w:name w:val="ListLabel 925"/>
    <w:qFormat/>
    <w:rPr>
      <w:rFonts w:cs="Garamond"/>
      <w:b/>
      <w:bCs/>
    </w:rPr>
  </w:style>
  <w:style w:type="character" w:customStyle="1" w:styleId="ListLabel926">
    <w:name w:val="ListLabel 926"/>
    <w:qFormat/>
    <w:rPr>
      <w:rFonts w:cs="Garamond"/>
      <w:b/>
      <w:bCs/>
    </w:rPr>
  </w:style>
  <w:style w:type="character" w:customStyle="1" w:styleId="ListLabel927">
    <w:name w:val="ListLabel 927"/>
    <w:qFormat/>
    <w:rPr>
      <w:rFonts w:cs="Garamond"/>
      <w:b/>
      <w:bCs/>
    </w:rPr>
  </w:style>
  <w:style w:type="character" w:customStyle="1" w:styleId="ListLabel928">
    <w:name w:val="ListLabel 928"/>
    <w:qFormat/>
    <w:rPr>
      <w:rFonts w:cs="Garamond"/>
      <w:b/>
      <w:bCs/>
    </w:rPr>
  </w:style>
  <w:style w:type="character" w:customStyle="1" w:styleId="ListLabel929">
    <w:name w:val="ListLabel 929"/>
    <w:qFormat/>
    <w:rPr>
      <w:rFonts w:cs="Garamond"/>
      <w:b/>
      <w:bCs/>
    </w:rPr>
  </w:style>
  <w:style w:type="character" w:customStyle="1" w:styleId="ListLabel930">
    <w:name w:val="ListLabel 930"/>
    <w:qFormat/>
    <w:rPr>
      <w:rFonts w:cs="Garamond"/>
      <w:b/>
      <w:bCs/>
    </w:rPr>
  </w:style>
  <w:style w:type="character" w:customStyle="1" w:styleId="ListLabel931">
    <w:name w:val="ListLabel 931"/>
    <w:qFormat/>
    <w:rPr>
      <w:rFonts w:ascii="Calibri" w:hAnsi="Calibri" w:cs="Garamond"/>
      <w:b/>
      <w:bCs/>
      <w:sz w:val="24"/>
    </w:rPr>
  </w:style>
  <w:style w:type="character" w:customStyle="1" w:styleId="ListLabel932">
    <w:name w:val="ListLabel 932"/>
    <w:qFormat/>
    <w:rPr>
      <w:rFonts w:cs="Garamond"/>
      <w:b/>
      <w:bCs/>
    </w:rPr>
  </w:style>
  <w:style w:type="character" w:customStyle="1" w:styleId="ListLabel933">
    <w:name w:val="ListLabel 933"/>
    <w:qFormat/>
    <w:rPr>
      <w:rFonts w:cs="Garamond"/>
      <w:b/>
      <w:bCs/>
    </w:rPr>
  </w:style>
  <w:style w:type="character" w:customStyle="1" w:styleId="ListLabel934">
    <w:name w:val="ListLabel 934"/>
    <w:qFormat/>
    <w:rPr>
      <w:rFonts w:cs="Garamond"/>
      <w:b/>
      <w:bCs/>
    </w:rPr>
  </w:style>
  <w:style w:type="character" w:customStyle="1" w:styleId="ListLabel935">
    <w:name w:val="ListLabel 935"/>
    <w:qFormat/>
    <w:rPr>
      <w:rFonts w:cs="Garamond"/>
      <w:b/>
      <w:bCs/>
    </w:rPr>
  </w:style>
  <w:style w:type="character" w:customStyle="1" w:styleId="ListLabel936">
    <w:name w:val="ListLabel 936"/>
    <w:qFormat/>
    <w:rPr>
      <w:rFonts w:cs="Garamond"/>
      <w:b/>
      <w:bCs/>
    </w:rPr>
  </w:style>
  <w:style w:type="character" w:customStyle="1" w:styleId="ListLabel937">
    <w:name w:val="ListLabel 937"/>
    <w:qFormat/>
    <w:rPr>
      <w:rFonts w:cs="Garamond"/>
      <w:b/>
      <w:bCs/>
    </w:rPr>
  </w:style>
  <w:style w:type="character" w:customStyle="1" w:styleId="ListLabel938">
    <w:name w:val="ListLabel 938"/>
    <w:qFormat/>
    <w:rPr>
      <w:rFonts w:cs="Garamond"/>
      <w:b/>
      <w:bCs/>
    </w:rPr>
  </w:style>
  <w:style w:type="character" w:customStyle="1" w:styleId="ListLabel939">
    <w:name w:val="ListLabel 939"/>
    <w:qFormat/>
    <w:rPr>
      <w:rFonts w:cs="Garamond"/>
      <w:b/>
      <w:bCs/>
    </w:rPr>
  </w:style>
  <w:style w:type="character" w:customStyle="1" w:styleId="ListLabel940">
    <w:name w:val="ListLabel 940"/>
    <w:qFormat/>
    <w:rPr>
      <w:rFonts w:ascii="Calibri" w:hAnsi="Calibri" w:cs="Garamond"/>
      <w:b/>
      <w:bCs/>
      <w:sz w:val="24"/>
    </w:rPr>
  </w:style>
  <w:style w:type="character" w:customStyle="1" w:styleId="ListLabel941">
    <w:name w:val="ListLabel 941"/>
    <w:qFormat/>
    <w:rPr>
      <w:rFonts w:cs="Garamond"/>
      <w:b/>
      <w:bCs/>
    </w:rPr>
  </w:style>
  <w:style w:type="character" w:customStyle="1" w:styleId="ListLabel942">
    <w:name w:val="ListLabel 942"/>
    <w:qFormat/>
    <w:rPr>
      <w:rFonts w:cs="Garamond"/>
      <w:b/>
      <w:bCs/>
    </w:rPr>
  </w:style>
  <w:style w:type="character" w:customStyle="1" w:styleId="ListLabel943">
    <w:name w:val="ListLabel 943"/>
    <w:qFormat/>
    <w:rPr>
      <w:rFonts w:cs="Garamond"/>
      <w:b/>
      <w:bCs/>
    </w:rPr>
  </w:style>
  <w:style w:type="character" w:customStyle="1" w:styleId="ListLabel944">
    <w:name w:val="ListLabel 944"/>
    <w:qFormat/>
    <w:rPr>
      <w:rFonts w:cs="Garamond"/>
      <w:b/>
      <w:bCs/>
    </w:rPr>
  </w:style>
  <w:style w:type="character" w:customStyle="1" w:styleId="ListLabel945">
    <w:name w:val="ListLabel 945"/>
    <w:qFormat/>
    <w:rPr>
      <w:rFonts w:cs="Garamond"/>
      <w:b/>
      <w:bCs/>
    </w:rPr>
  </w:style>
  <w:style w:type="character" w:customStyle="1" w:styleId="ListLabel946">
    <w:name w:val="ListLabel 946"/>
    <w:qFormat/>
    <w:rPr>
      <w:rFonts w:cs="Garamond"/>
      <w:b/>
      <w:bCs/>
    </w:rPr>
  </w:style>
  <w:style w:type="character" w:customStyle="1" w:styleId="ListLabel947">
    <w:name w:val="ListLabel 947"/>
    <w:qFormat/>
    <w:rPr>
      <w:rFonts w:cs="Garamond"/>
      <w:b/>
      <w:bCs/>
    </w:rPr>
  </w:style>
  <w:style w:type="character" w:customStyle="1" w:styleId="ListLabel948">
    <w:name w:val="ListLabel 948"/>
    <w:qFormat/>
    <w:rPr>
      <w:rFonts w:cs="Garamond"/>
      <w:b/>
      <w:bCs/>
    </w:rPr>
  </w:style>
  <w:style w:type="character" w:customStyle="1" w:styleId="ListLabel949">
    <w:name w:val="ListLabel 949"/>
    <w:qFormat/>
    <w:rPr>
      <w:rFonts w:ascii="Calibri" w:hAnsi="Calibri" w:cs="Garamond"/>
      <w:b/>
      <w:bCs/>
      <w:sz w:val="24"/>
    </w:rPr>
  </w:style>
  <w:style w:type="character" w:customStyle="1" w:styleId="ListLabel950">
    <w:name w:val="ListLabel 950"/>
    <w:qFormat/>
    <w:rPr>
      <w:rFonts w:cs="Garamond"/>
      <w:b/>
      <w:bCs/>
    </w:rPr>
  </w:style>
  <w:style w:type="character" w:customStyle="1" w:styleId="ListLabel951">
    <w:name w:val="ListLabel 951"/>
    <w:qFormat/>
    <w:rPr>
      <w:rFonts w:cs="Garamond"/>
      <w:b/>
      <w:bCs/>
    </w:rPr>
  </w:style>
  <w:style w:type="character" w:customStyle="1" w:styleId="ListLabel952">
    <w:name w:val="ListLabel 952"/>
    <w:qFormat/>
    <w:rPr>
      <w:rFonts w:cs="Garamond"/>
      <w:b/>
      <w:bCs/>
    </w:rPr>
  </w:style>
  <w:style w:type="character" w:customStyle="1" w:styleId="ListLabel953">
    <w:name w:val="ListLabel 953"/>
    <w:qFormat/>
    <w:rPr>
      <w:rFonts w:cs="Garamond"/>
      <w:b/>
      <w:bCs/>
    </w:rPr>
  </w:style>
  <w:style w:type="character" w:customStyle="1" w:styleId="ListLabel954">
    <w:name w:val="ListLabel 954"/>
    <w:qFormat/>
    <w:rPr>
      <w:rFonts w:cs="Garamond"/>
      <w:b/>
      <w:bCs/>
    </w:rPr>
  </w:style>
  <w:style w:type="character" w:customStyle="1" w:styleId="ListLabel955">
    <w:name w:val="ListLabel 955"/>
    <w:qFormat/>
    <w:rPr>
      <w:rFonts w:cs="Garamond"/>
      <w:b/>
      <w:bCs/>
    </w:rPr>
  </w:style>
  <w:style w:type="character" w:customStyle="1" w:styleId="ListLabel956">
    <w:name w:val="ListLabel 956"/>
    <w:qFormat/>
    <w:rPr>
      <w:rFonts w:cs="Garamond"/>
      <w:b/>
      <w:bCs/>
    </w:rPr>
  </w:style>
  <w:style w:type="character" w:customStyle="1" w:styleId="ListLabel957">
    <w:name w:val="ListLabel 957"/>
    <w:qFormat/>
    <w:rPr>
      <w:rFonts w:cs="Garamond"/>
      <w:b/>
      <w:bCs/>
    </w:rPr>
  </w:style>
  <w:style w:type="character" w:customStyle="1" w:styleId="ListLabel958">
    <w:name w:val="ListLabel 958"/>
    <w:qFormat/>
    <w:rPr>
      <w:rFonts w:cs="Garamond"/>
      <w:b/>
      <w:bCs/>
      <w:sz w:val="24"/>
    </w:rPr>
  </w:style>
  <w:style w:type="character" w:customStyle="1" w:styleId="ListLabel959">
    <w:name w:val="ListLabel 959"/>
    <w:qFormat/>
    <w:rPr>
      <w:rFonts w:cs="Garamond"/>
      <w:b/>
      <w:bCs/>
    </w:rPr>
  </w:style>
  <w:style w:type="character" w:customStyle="1" w:styleId="ListLabel960">
    <w:name w:val="ListLabel 960"/>
    <w:qFormat/>
    <w:rPr>
      <w:rFonts w:cs="Garamond"/>
      <w:b/>
      <w:bCs/>
    </w:rPr>
  </w:style>
  <w:style w:type="character" w:customStyle="1" w:styleId="ListLabel961">
    <w:name w:val="ListLabel 961"/>
    <w:qFormat/>
    <w:rPr>
      <w:rFonts w:cs="Garamond"/>
      <w:b/>
      <w:bCs/>
    </w:rPr>
  </w:style>
  <w:style w:type="character" w:customStyle="1" w:styleId="ListLabel962">
    <w:name w:val="ListLabel 962"/>
    <w:qFormat/>
    <w:rPr>
      <w:rFonts w:cs="Garamond"/>
      <w:b/>
      <w:bCs/>
    </w:rPr>
  </w:style>
  <w:style w:type="character" w:customStyle="1" w:styleId="ListLabel963">
    <w:name w:val="ListLabel 963"/>
    <w:qFormat/>
    <w:rPr>
      <w:rFonts w:cs="Garamond"/>
      <w:b/>
      <w:bCs/>
    </w:rPr>
  </w:style>
  <w:style w:type="character" w:customStyle="1" w:styleId="ListLabel964">
    <w:name w:val="ListLabel 964"/>
    <w:qFormat/>
    <w:rPr>
      <w:rFonts w:cs="Garamond"/>
      <w:b/>
      <w:bCs/>
    </w:rPr>
  </w:style>
  <w:style w:type="character" w:customStyle="1" w:styleId="ListLabel965">
    <w:name w:val="ListLabel 965"/>
    <w:qFormat/>
    <w:rPr>
      <w:rFonts w:cs="Garamond"/>
      <w:b/>
      <w:bCs/>
    </w:rPr>
  </w:style>
  <w:style w:type="character" w:customStyle="1" w:styleId="ListLabel966">
    <w:name w:val="ListLabel 966"/>
    <w:qFormat/>
    <w:rPr>
      <w:rFonts w:cs="Garamond"/>
      <w:b/>
      <w:bCs/>
    </w:rPr>
  </w:style>
  <w:style w:type="character" w:customStyle="1" w:styleId="ListLabel967">
    <w:name w:val="ListLabel 967"/>
    <w:qFormat/>
    <w:rPr>
      <w:rFonts w:ascii="Calibri" w:hAnsi="Calibri" w:cs="Garamond"/>
      <w:b/>
      <w:bCs/>
      <w:sz w:val="24"/>
    </w:rPr>
  </w:style>
  <w:style w:type="character" w:customStyle="1" w:styleId="ListLabel968">
    <w:name w:val="ListLabel 968"/>
    <w:qFormat/>
    <w:rPr>
      <w:rFonts w:cs="Garamond"/>
      <w:b/>
      <w:bCs/>
    </w:rPr>
  </w:style>
  <w:style w:type="character" w:customStyle="1" w:styleId="ListLabel969">
    <w:name w:val="ListLabel 969"/>
    <w:qFormat/>
    <w:rPr>
      <w:rFonts w:cs="Garamond"/>
      <w:b/>
      <w:bCs/>
    </w:rPr>
  </w:style>
  <w:style w:type="character" w:customStyle="1" w:styleId="ListLabel970">
    <w:name w:val="ListLabel 970"/>
    <w:qFormat/>
    <w:rPr>
      <w:rFonts w:cs="Garamond"/>
      <w:b/>
      <w:bCs/>
    </w:rPr>
  </w:style>
  <w:style w:type="character" w:customStyle="1" w:styleId="ListLabel971">
    <w:name w:val="ListLabel 971"/>
    <w:qFormat/>
    <w:rPr>
      <w:rFonts w:cs="Garamond"/>
      <w:b/>
      <w:bCs/>
    </w:rPr>
  </w:style>
  <w:style w:type="character" w:customStyle="1" w:styleId="ListLabel972">
    <w:name w:val="ListLabel 972"/>
    <w:qFormat/>
    <w:rPr>
      <w:rFonts w:cs="Garamond"/>
      <w:b/>
      <w:bCs/>
    </w:rPr>
  </w:style>
  <w:style w:type="character" w:customStyle="1" w:styleId="ListLabel973">
    <w:name w:val="ListLabel 973"/>
    <w:qFormat/>
    <w:rPr>
      <w:rFonts w:cs="Garamond"/>
      <w:b/>
      <w:bCs/>
    </w:rPr>
  </w:style>
  <w:style w:type="character" w:customStyle="1" w:styleId="ListLabel974">
    <w:name w:val="ListLabel 974"/>
    <w:qFormat/>
    <w:rPr>
      <w:rFonts w:cs="Garamond"/>
      <w:b/>
      <w:bCs/>
    </w:rPr>
  </w:style>
  <w:style w:type="character" w:customStyle="1" w:styleId="ListLabel975">
    <w:name w:val="ListLabel 975"/>
    <w:qFormat/>
    <w:rPr>
      <w:rFonts w:cs="Garamond"/>
      <w:b/>
      <w:bCs/>
    </w:rPr>
  </w:style>
  <w:style w:type="character" w:customStyle="1" w:styleId="ListLabel976">
    <w:name w:val="ListLabel 976"/>
    <w:qFormat/>
    <w:rPr>
      <w:rFonts w:ascii="Calibri" w:hAnsi="Calibri" w:cs="Garamond"/>
      <w:b/>
      <w:bCs/>
      <w:sz w:val="24"/>
    </w:rPr>
  </w:style>
  <w:style w:type="character" w:customStyle="1" w:styleId="ListLabel977">
    <w:name w:val="ListLabel 977"/>
    <w:qFormat/>
    <w:rPr>
      <w:rFonts w:cs="Garamond"/>
      <w:b/>
      <w:bCs/>
    </w:rPr>
  </w:style>
  <w:style w:type="character" w:customStyle="1" w:styleId="ListLabel978">
    <w:name w:val="ListLabel 978"/>
    <w:qFormat/>
    <w:rPr>
      <w:rFonts w:cs="Garamond"/>
      <w:b/>
      <w:bCs/>
    </w:rPr>
  </w:style>
  <w:style w:type="character" w:customStyle="1" w:styleId="ListLabel979">
    <w:name w:val="ListLabel 979"/>
    <w:qFormat/>
    <w:rPr>
      <w:rFonts w:cs="Garamond"/>
      <w:b/>
      <w:bCs/>
    </w:rPr>
  </w:style>
  <w:style w:type="character" w:customStyle="1" w:styleId="ListLabel980">
    <w:name w:val="ListLabel 980"/>
    <w:qFormat/>
    <w:rPr>
      <w:rFonts w:cs="Garamond"/>
      <w:b/>
      <w:bCs/>
    </w:rPr>
  </w:style>
  <w:style w:type="character" w:customStyle="1" w:styleId="ListLabel981">
    <w:name w:val="ListLabel 981"/>
    <w:qFormat/>
    <w:rPr>
      <w:rFonts w:cs="Garamond"/>
      <w:b/>
      <w:bCs/>
    </w:rPr>
  </w:style>
  <w:style w:type="character" w:customStyle="1" w:styleId="ListLabel982">
    <w:name w:val="ListLabel 982"/>
    <w:qFormat/>
    <w:rPr>
      <w:rFonts w:cs="Garamond"/>
      <w:b/>
      <w:bCs/>
    </w:rPr>
  </w:style>
  <w:style w:type="character" w:customStyle="1" w:styleId="ListLabel983">
    <w:name w:val="ListLabel 983"/>
    <w:qFormat/>
    <w:rPr>
      <w:rFonts w:cs="Garamond"/>
      <w:b/>
      <w:bCs/>
    </w:rPr>
  </w:style>
  <w:style w:type="character" w:customStyle="1" w:styleId="ListLabel984">
    <w:name w:val="ListLabel 984"/>
    <w:qFormat/>
    <w:rPr>
      <w:rFonts w:cs="Garamond"/>
      <w:b/>
      <w:bCs/>
    </w:rPr>
  </w:style>
  <w:style w:type="character" w:customStyle="1" w:styleId="ListLabel985">
    <w:name w:val="ListLabel 985"/>
    <w:qFormat/>
    <w:rPr>
      <w:rFonts w:ascii="Calibri" w:hAnsi="Calibri" w:cs="Garamond"/>
      <w:b/>
      <w:bCs/>
      <w:sz w:val="24"/>
    </w:rPr>
  </w:style>
  <w:style w:type="character" w:customStyle="1" w:styleId="ListLabel986">
    <w:name w:val="ListLabel 986"/>
    <w:qFormat/>
    <w:rPr>
      <w:rFonts w:cs="Garamond"/>
      <w:b/>
      <w:bCs/>
    </w:rPr>
  </w:style>
  <w:style w:type="character" w:customStyle="1" w:styleId="ListLabel987">
    <w:name w:val="ListLabel 987"/>
    <w:qFormat/>
    <w:rPr>
      <w:rFonts w:cs="Garamond"/>
      <w:b/>
      <w:bCs/>
    </w:rPr>
  </w:style>
  <w:style w:type="character" w:customStyle="1" w:styleId="ListLabel988">
    <w:name w:val="ListLabel 988"/>
    <w:qFormat/>
    <w:rPr>
      <w:rFonts w:cs="Garamond"/>
      <w:b/>
      <w:bCs/>
    </w:rPr>
  </w:style>
  <w:style w:type="character" w:customStyle="1" w:styleId="ListLabel989">
    <w:name w:val="ListLabel 989"/>
    <w:qFormat/>
    <w:rPr>
      <w:rFonts w:cs="Garamond"/>
      <w:b/>
      <w:bCs/>
    </w:rPr>
  </w:style>
  <w:style w:type="character" w:customStyle="1" w:styleId="ListLabel990">
    <w:name w:val="ListLabel 990"/>
    <w:qFormat/>
    <w:rPr>
      <w:rFonts w:cs="Garamond"/>
      <w:b/>
      <w:bCs/>
    </w:rPr>
  </w:style>
  <w:style w:type="character" w:customStyle="1" w:styleId="ListLabel991">
    <w:name w:val="ListLabel 991"/>
    <w:qFormat/>
    <w:rPr>
      <w:rFonts w:cs="Garamond"/>
      <w:b/>
      <w:bCs/>
    </w:rPr>
  </w:style>
  <w:style w:type="character" w:customStyle="1" w:styleId="ListLabel992">
    <w:name w:val="ListLabel 992"/>
    <w:qFormat/>
    <w:rPr>
      <w:rFonts w:cs="Garamond"/>
      <w:b/>
      <w:bCs/>
    </w:rPr>
  </w:style>
  <w:style w:type="character" w:customStyle="1" w:styleId="ListLabel993">
    <w:name w:val="ListLabel 993"/>
    <w:qFormat/>
    <w:rPr>
      <w:rFonts w:cs="Garamond"/>
      <w:b/>
      <w:bCs/>
    </w:rPr>
  </w:style>
  <w:style w:type="character" w:customStyle="1" w:styleId="ListLabel994">
    <w:name w:val="ListLabel 994"/>
    <w:qFormat/>
    <w:rPr>
      <w:rFonts w:ascii="Calibri" w:hAnsi="Calibri" w:cs="Garamond"/>
      <w:b/>
      <w:bCs/>
      <w:sz w:val="24"/>
    </w:rPr>
  </w:style>
  <w:style w:type="character" w:customStyle="1" w:styleId="ListLabel995">
    <w:name w:val="ListLabel 995"/>
    <w:qFormat/>
    <w:rPr>
      <w:rFonts w:cs="Garamond"/>
      <w:b/>
      <w:bCs/>
    </w:rPr>
  </w:style>
  <w:style w:type="character" w:customStyle="1" w:styleId="ListLabel996">
    <w:name w:val="ListLabel 996"/>
    <w:qFormat/>
    <w:rPr>
      <w:rFonts w:cs="Garamond"/>
      <w:b/>
      <w:bCs/>
    </w:rPr>
  </w:style>
  <w:style w:type="character" w:customStyle="1" w:styleId="ListLabel997">
    <w:name w:val="ListLabel 997"/>
    <w:qFormat/>
    <w:rPr>
      <w:rFonts w:cs="Garamond"/>
      <w:b/>
      <w:bCs/>
    </w:rPr>
  </w:style>
  <w:style w:type="character" w:customStyle="1" w:styleId="ListLabel998">
    <w:name w:val="ListLabel 998"/>
    <w:qFormat/>
    <w:rPr>
      <w:rFonts w:cs="Garamond"/>
      <w:b/>
      <w:bCs/>
    </w:rPr>
  </w:style>
  <w:style w:type="character" w:customStyle="1" w:styleId="ListLabel999">
    <w:name w:val="ListLabel 999"/>
    <w:qFormat/>
    <w:rPr>
      <w:rFonts w:cs="Garamond"/>
      <w:b/>
      <w:bCs/>
    </w:rPr>
  </w:style>
  <w:style w:type="character" w:customStyle="1" w:styleId="ListLabel1000">
    <w:name w:val="ListLabel 1000"/>
    <w:qFormat/>
    <w:rPr>
      <w:rFonts w:cs="Garamond"/>
      <w:b/>
      <w:bCs/>
    </w:rPr>
  </w:style>
  <w:style w:type="character" w:customStyle="1" w:styleId="ListLabel1001">
    <w:name w:val="ListLabel 1001"/>
    <w:qFormat/>
    <w:rPr>
      <w:rFonts w:cs="Garamond"/>
      <w:b/>
      <w:bCs/>
    </w:rPr>
  </w:style>
  <w:style w:type="character" w:customStyle="1" w:styleId="ListLabel1002">
    <w:name w:val="ListLabel 1002"/>
    <w:qFormat/>
    <w:rPr>
      <w:rFonts w:cs="Garamond"/>
      <w:b/>
      <w:bCs/>
    </w:rPr>
  </w:style>
  <w:style w:type="character" w:customStyle="1" w:styleId="ListLabel1003">
    <w:name w:val="ListLabel 1003"/>
    <w:qFormat/>
    <w:rPr>
      <w:rFonts w:ascii="Calibri" w:hAnsi="Calibri" w:cs="Garamond"/>
      <w:b/>
      <w:bCs/>
      <w:sz w:val="24"/>
    </w:rPr>
  </w:style>
  <w:style w:type="character" w:customStyle="1" w:styleId="ListLabel1004">
    <w:name w:val="ListLabel 1004"/>
    <w:qFormat/>
    <w:rPr>
      <w:rFonts w:cs="Garamond"/>
      <w:b/>
      <w:bCs/>
    </w:rPr>
  </w:style>
  <w:style w:type="character" w:customStyle="1" w:styleId="ListLabel1005">
    <w:name w:val="ListLabel 1005"/>
    <w:qFormat/>
    <w:rPr>
      <w:rFonts w:cs="Garamond"/>
      <w:b/>
      <w:bCs/>
    </w:rPr>
  </w:style>
  <w:style w:type="character" w:customStyle="1" w:styleId="ListLabel1006">
    <w:name w:val="ListLabel 1006"/>
    <w:qFormat/>
    <w:rPr>
      <w:rFonts w:cs="Garamond"/>
      <w:b/>
      <w:bCs/>
    </w:rPr>
  </w:style>
  <w:style w:type="character" w:customStyle="1" w:styleId="ListLabel1007">
    <w:name w:val="ListLabel 1007"/>
    <w:qFormat/>
    <w:rPr>
      <w:rFonts w:cs="Garamond"/>
      <w:b/>
      <w:bCs/>
    </w:rPr>
  </w:style>
  <w:style w:type="character" w:customStyle="1" w:styleId="ListLabel1008">
    <w:name w:val="ListLabel 1008"/>
    <w:qFormat/>
    <w:rPr>
      <w:rFonts w:cs="Garamond"/>
      <w:b/>
      <w:bCs/>
    </w:rPr>
  </w:style>
  <w:style w:type="character" w:customStyle="1" w:styleId="ListLabel1009">
    <w:name w:val="ListLabel 1009"/>
    <w:qFormat/>
    <w:rPr>
      <w:rFonts w:cs="Garamond"/>
      <w:b/>
      <w:bCs/>
    </w:rPr>
  </w:style>
  <w:style w:type="character" w:customStyle="1" w:styleId="ListLabel1010">
    <w:name w:val="ListLabel 1010"/>
    <w:qFormat/>
    <w:rPr>
      <w:rFonts w:cs="Garamond"/>
      <w:b/>
      <w:bCs/>
    </w:rPr>
  </w:style>
  <w:style w:type="character" w:customStyle="1" w:styleId="ListLabel1011">
    <w:name w:val="ListLabel 1011"/>
    <w:qFormat/>
    <w:rPr>
      <w:rFonts w:cs="Garamond"/>
      <w:b/>
      <w:bCs/>
    </w:rPr>
  </w:style>
  <w:style w:type="character" w:customStyle="1" w:styleId="ListLabel1012">
    <w:name w:val="ListLabel 1012"/>
    <w:qFormat/>
    <w:rPr>
      <w:rFonts w:ascii="Calibri" w:hAnsi="Calibri" w:cs="Garamond"/>
      <w:b/>
      <w:bCs/>
      <w:sz w:val="24"/>
    </w:rPr>
  </w:style>
  <w:style w:type="character" w:customStyle="1" w:styleId="ListLabel1013">
    <w:name w:val="ListLabel 1013"/>
    <w:qFormat/>
    <w:rPr>
      <w:rFonts w:cs="Garamond"/>
      <w:b/>
      <w:bCs/>
    </w:rPr>
  </w:style>
  <w:style w:type="character" w:customStyle="1" w:styleId="ListLabel1014">
    <w:name w:val="ListLabel 1014"/>
    <w:qFormat/>
    <w:rPr>
      <w:rFonts w:cs="Garamond"/>
      <w:b/>
      <w:bCs/>
    </w:rPr>
  </w:style>
  <w:style w:type="character" w:customStyle="1" w:styleId="ListLabel1015">
    <w:name w:val="ListLabel 1015"/>
    <w:qFormat/>
    <w:rPr>
      <w:rFonts w:cs="Garamond"/>
      <w:b/>
      <w:bCs/>
    </w:rPr>
  </w:style>
  <w:style w:type="character" w:customStyle="1" w:styleId="ListLabel1016">
    <w:name w:val="ListLabel 1016"/>
    <w:qFormat/>
    <w:rPr>
      <w:rFonts w:cs="Garamond"/>
      <w:b/>
      <w:bCs/>
    </w:rPr>
  </w:style>
  <w:style w:type="character" w:customStyle="1" w:styleId="ListLabel1017">
    <w:name w:val="ListLabel 1017"/>
    <w:qFormat/>
    <w:rPr>
      <w:rFonts w:cs="Garamond"/>
      <w:b/>
      <w:bCs/>
    </w:rPr>
  </w:style>
  <w:style w:type="character" w:customStyle="1" w:styleId="ListLabel1018">
    <w:name w:val="ListLabel 1018"/>
    <w:qFormat/>
    <w:rPr>
      <w:rFonts w:cs="Garamond"/>
      <w:b/>
      <w:bCs/>
    </w:rPr>
  </w:style>
  <w:style w:type="character" w:customStyle="1" w:styleId="ListLabel1019">
    <w:name w:val="ListLabel 1019"/>
    <w:qFormat/>
    <w:rPr>
      <w:rFonts w:cs="Garamond"/>
      <w:b/>
      <w:bCs/>
    </w:rPr>
  </w:style>
  <w:style w:type="character" w:customStyle="1" w:styleId="ListLabel1020">
    <w:name w:val="ListLabel 1020"/>
    <w:qFormat/>
    <w:rPr>
      <w:rFonts w:cs="Garamond"/>
      <w:b/>
      <w:bCs/>
    </w:rPr>
  </w:style>
  <w:style w:type="character" w:customStyle="1" w:styleId="ListLabel1021">
    <w:name w:val="ListLabel 1021"/>
    <w:qFormat/>
    <w:rPr>
      <w:rFonts w:ascii="Calibri" w:hAnsi="Calibri" w:cs="Garamond"/>
      <w:b/>
      <w:bCs/>
      <w:sz w:val="24"/>
    </w:rPr>
  </w:style>
  <w:style w:type="character" w:customStyle="1" w:styleId="ListLabel1022">
    <w:name w:val="ListLabel 1022"/>
    <w:qFormat/>
    <w:rPr>
      <w:rFonts w:ascii="Calibri" w:hAnsi="Calibri" w:cs="Garamond"/>
      <w:b/>
      <w:bCs/>
      <w:sz w:val="24"/>
    </w:rPr>
  </w:style>
  <w:style w:type="character" w:customStyle="1" w:styleId="ListLabel1023">
    <w:name w:val="ListLabel 1023"/>
    <w:qFormat/>
    <w:rPr>
      <w:rFonts w:cs="Garamond"/>
      <w:b/>
      <w:bCs/>
    </w:rPr>
  </w:style>
  <w:style w:type="character" w:customStyle="1" w:styleId="ListLabel1024">
    <w:name w:val="ListLabel 1024"/>
    <w:qFormat/>
    <w:rPr>
      <w:rFonts w:cs="Garamond"/>
      <w:b/>
      <w:bCs/>
    </w:rPr>
  </w:style>
  <w:style w:type="character" w:customStyle="1" w:styleId="ListLabel1025">
    <w:name w:val="ListLabel 1025"/>
    <w:qFormat/>
    <w:rPr>
      <w:rFonts w:cs="Garamond"/>
      <w:b/>
      <w:bCs/>
    </w:rPr>
  </w:style>
  <w:style w:type="character" w:customStyle="1" w:styleId="ListLabel1026">
    <w:name w:val="ListLabel 1026"/>
    <w:qFormat/>
    <w:rPr>
      <w:rFonts w:cs="Garamond"/>
      <w:b/>
      <w:bCs/>
    </w:rPr>
  </w:style>
  <w:style w:type="character" w:customStyle="1" w:styleId="ListLabel1027">
    <w:name w:val="ListLabel 1027"/>
    <w:qFormat/>
    <w:rPr>
      <w:rFonts w:cs="Garamond"/>
      <w:b/>
      <w:bCs/>
    </w:rPr>
  </w:style>
  <w:style w:type="character" w:customStyle="1" w:styleId="ListLabel1028">
    <w:name w:val="ListLabel 1028"/>
    <w:qFormat/>
    <w:rPr>
      <w:rFonts w:cs="Garamond"/>
      <w:b/>
      <w:bCs/>
    </w:rPr>
  </w:style>
  <w:style w:type="character" w:customStyle="1" w:styleId="ListLabel1029">
    <w:name w:val="ListLabel 1029"/>
    <w:qFormat/>
    <w:rPr>
      <w:rFonts w:cs="Garamond"/>
      <w:b/>
      <w:bCs/>
    </w:rPr>
  </w:style>
  <w:style w:type="character" w:customStyle="1" w:styleId="ListLabel1030">
    <w:name w:val="ListLabel 1030"/>
    <w:qFormat/>
    <w:rPr>
      <w:rFonts w:ascii="Calibri" w:hAnsi="Calibri" w:cs="Garamond"/>
      <w:b/>
      <w:bCs/>
      <w:sz w:val="24"/>
    </w:rPr>
  </w:style>
  <w:style w:type="character" w:customStyle="1" w:styleId="ListLabel1031">
    <w:name w:val="ListLabel 1031"/>
    <w:qFormat/>
    <w:rPr>
      <w:rFonts w:cs="Garamond"/>
      <w:b/>
      <w:bCs/>
    </w:rPr>
  </w:style>
  <w:style w:type="character" w:customStyle="1" w:styleId="ListLabel1032">
    <w:name w:val="ListLabel 1032"/>
    <w:qFormat/>
    <w:rPr>
      <w:rFonts w:cs="Garamond"/>
      <w:b/>
      <w:bCs/>
    </w:rPr>
  </w:style>
  <w:style w:type="character" w:customStyle="1" w:styleId="ListLabel1033">
    <w:name w:val="ListLabel 1033"/>
    <w:qFormat/>
    <w:rPr>
      <w:rFonts w:cs="Garamond"/>
      <w:b/>
      <w:bCs/>
    </w:rPr>
  </w:style>
  <w:style w:type="character" w:customStyle="1" w:styleId="ListLabel1034">
    <w:name w:val="ListLabel 1034"/>
    <w:qFormat/>
    <w:rPr>
      <w:rFonts w:cs="Garamond"/>
      <w:b/>
      <w:bCs/>
    </w:rPr>
  </w:style>
  <w:style w:type="character" w:customStyle="1" w:styleId="ListLabel1035">
    <w:name w:val="ListLabel 1035"/>
    <w:qFormat/>
    <w:rPr>
      <w:rFonts w:cs="Garamond"/>
      <w:b/>
      <w:bCs/>
    </w:rPr>
  </w:style>
  <w:style w:type="character" w:customStyle="1" w:styleId="ListLabel1036">
    <w:name w:val="ListLabel 1036"/>
    <w:qFormat/>
    <w:rPr>
      <w:rFonts w:cs="Garamond"/>
      <w:b/>
      <w:bCs/>
    </w:rPr>
  </w:style>
  <w:style w:type="character" w:customStyle="1" w:styleId="ListLabel1037">
    <w:name w:val="ListLabel 1037"/>
    <w:qFormat/>
    <w:rPr>
      <w:rFonts w:cs="Garamond"/>
      <w:b/>
      <w:bCs/>
    </w:rPr>
  </w:style>
  <w:style w:type="character" w:customStyle="1" w:styleId="ListLabel1038">
    <w:name w:val="ListLabel 1038"/>
    <w:qFormat/>
    <w:rPr>
      <w:rFonts w:cs="Garamond"/>
      <w:b/>
      <w:bCs/>
    </w:rPr>
  </w:style>
  <w:style w:type="character" w:customStyle="1" w:styleId="ListLabel1039">
    <w:name w:val="ListLabel 1039"/>
    <w:qFormat/>
    <w:rPr>
      <w:rFonts w:ascii="Calibri" w:hAnsi="Calibri" w:cs="Garamond"/>
      <w:b/>
      <w:bCs/>
      <w:sz w:val="24"/>
    </w:rPr>
  </w:style>
  <w:style w:type="character" w:customStyle="1" w:styleId="ListLabel1040">
    <w:name w:val="ListLabel 1040"/>
    <w:qFormat/>
    <w:rPr>
      <w:rFonts w:ascii="Calibri" w:hAnsi="Calibri" w:cs="Garamond"/>
      <w:b/>
      <w:bCs/>
      <w:sz w:val="24"/>
    </w:rPr>
  </w:style>
  <w:style w:type="character" w:customStyle="1" w:styleId="ListLabel1041">
    <w:name w:val="ListLabel 1041"/>
    <w:qFormat/>
    <w:rPr>
      <w:rFonts w:cs="Garamond"/>
      <w:b/>
      <w:bCs/>
    </w:rPr>
  </w:style>
  <w:style w:type="character" w:customStyle="1" w:styleId="ListLabel1042">
    <w:name w:val="ListLabel 1042"/>
    <w:qFormat/>
    <w:rPr>
      <w:rFonts w:cs="Garamond"/>
      <w:b/>
      <w:bCs/>
    </w:rPr>
  </w:style>
  <w:style w:type="character" w:customStyle="1" w:styleId="ListLabel1043">
    <w:name w:val="ListLabel 1043"/>
    <w:qFormat/>
    <w:rPr>
      <w:rFonts w:cs="Garamond"/>
      <w:b/>
      <w:bCs/>
    </w:rPr>
  </w:style>
  <w:style w:type="character" w:customStyle="1" w:styleId="ListLabel1044">
    <w:name w:val="ListLabel 1044"/>
    <w:qFormat/>
    <w:rPr>
      <w:rFonts w:cs="Garamond"/>
      <w:b/>
      <w:bCs/>
    </w:rPr>
  </w:style>
  <w:style w:type="character" w:customStyle="1" w:styleId="ListLabel1045">
    <w:name w:val="ListLabel 1045"/>
    <w:qFormat/>
    <w:rPr>
      <w:rFonts w:cs="Garamond"/>
      <w:b/>
      <w:bCs/>
    </w:rPr>
  </w:style>
  <w:style w:type="character" w:customStyle="1" w:styleId="ListLabel1046">
    <w:name w:val="ListLabel 1046"/>
    <w:qFormat/>
    <w:rPr>
      <w:rFonts w:cs="Garamond"/>
      <w:b/>
      <w:bCs/>
    </w:rPr>
  </w:style>
  <w:style w:type="character" w:customStyle="1" w:styleId="ListLabel1047">
    <w:name w:val="ListLabel 1047"/>
    <w:qFormat/>
    <w:rPr>
      <w:rFonts w:cs="Garamond"/>
      <w:b/>
      <w:bCs/>
    </w:rPr>
  </w:style>
  <w:style w:type="character" w:customStyle="1" w:styleId="ListLabel1048">
    <w:name w:val="ListLabel 1048"/>
    <w:qFormat/>
    <w:rPr>
      <w:rFonts w:ascii="Calibri" w:hAnsi="Calibri" w:cs="Garamond"/>
      <w:b/>
      <w:bCs/>
      <w:sz w:val="24"/>
    </w:rPr>
  </w:style>
  <w:style w:type="character" w:customStyle="1" w:styleId="ListLabel1049">
    <w:name w:val="ListLabel 1049"/>
    <w:qFormat/>
    <w:rPr>
      <w:rFonts w:cs="Garamond"/>
      <w:b/>
      <w:bCs/>
    </w:rPr>
  </w:style>
  <w:style w:type="character" w:customStyle="1" w:styleId="ListLabel1050">
    <w:name w:val="ListLabel 1050"/>
    <w:qFormat/>
    <w:rPr>
      <w:rFonts w:cs="Garamond"/>
      <w:b/>
      <w:bCs/>
    </w:rPr>
  </w:style>
  <w:style w:type="character" w:customStyle="1" w:styleId="ListLabel1051">
    <w:name w:val="ListLabel 1051"/>
    <w:qFormat/>
    <w:rPr>
      <w:rFonts w:cs="Garamond"/>
      <w:b/>
      <w:bCs/>
    </w:rPr>
  </w:style>
  <w:style w:type="character" w:customStyle="1" w:styleId="ListLabel1052">
    <w:name w:val="ListLabel 1052"/>
    <w:qFormat/>
    <w:rPr>
      <w:rFonts w:cs="Garamond"/>
      <w:b/>
      <w:bCs/>
    </w:rPr>
  </w:style>
  <w:style w:type="character" w:customStyle="1" w:styleId="ListLabel1053">
    <w:name w:val="ListLabel 1053"/>
    <w:qFormat/>
    <w:rPr>
      <w:rFonts w:cs="Garamond"/>
      <w:b/>
      <w:bCs/>
    </w:rPr>
  </w:style>
  <w:style w:type="character" w:customStyle="1" w:styleId="ListLabel1054">
    <w:name w:val="ListLabel 1054"/>
    <w:qFormat/>
    <w:rPr>
      <w:rFonts w:cs="Garamond"/>
      <w:b/>
      <w:bCs/>
    </w:rPr>
  </w:style>
  <w:style w:type="character" w:customStyle="1" w:styleId="ListLabel1055">
    <w:name w:val="ListLabel 1055"/>
    <w:qFormat/>
    <w:rPr>
      <w:rFonts w:cs="Garamond"/>
      <w:b/>
      <w:bCs/>
    </w:rPr>
  </w:style>
  <w:style w:type="character" w:customStyle="1" w:styleId="ListLabel1056">
    <w:name w:val="ListLabel 1056"/>
    <w:qFormat/>
    <w:rPr>
      <w:rFonts w:cs="Garamond"/>
      <w:b/>
      <w:bCs/>
    </w:rPr>
  </w:style>
  <w:style w:type="character" w:customStyle="1" w:styleId="ListLabel1057">
    <w:name w:val="ListLabel 1057"/>
    <w:qFormat/>
    <w:rPr>
      <w:rFonts w:ascii="Calibri" w:hAnsi="Calibri" w:cs="Garamond"/>
      <w:b/>
      <w:bCs/>
      <w:sz w:val="24"/>
    </w:rPr>
  </w:style>
  <w:style w:type="character" w:customStyle="1" w:styleId="ListLabel1058">
    <w:name w:val="ListLabel 1058"/>
    <w:qFormat/>
    <w:rPr>
      <w:rFonts w:cs="Garamond"/>
      <w:b/>
      <w:bCs/>
    </w:rPr>
  </w:style>
  <w:style w:type="character" w:customStyle="1" w:styleId="ListLabel1059">
    <w:name w:val="ListLabel 1059"/>
    <w:qFormat/>
    <w:rPr>
      <w:rFonts w:cs="Garamond"/>
      <w:b/>
      <w:bCs/>
    </w:rPr>
  </w:style>
  <w:style w:type="character" w:customStyle="1" w:styleId="ListLabel1060">
    <w:name w:val="ListLabel 1060"/>
    <w:qFormat/>
    <w:rPr>
      <w:rFonts w:cs="Garamond"/>
      <w:b/>
      <w:bCs/>
    </w:rPr>
  </w:style>
  <w:style w:type="character" w:customStyle="1" w:styleId="ListLabel1061">
    <w:name w:val="ListLabel 1061"/>
    <w:qFormat/>
    <w:rPr>
      <w:rFonts w:cs="Garamond"/>
      <w:b/>
      <w:bCs/>
    </w:rPr>
  </w:style>
  <w:style w:type="character" w:customStyle="1" w:styleId="ListLabel1062">
    <w:name w:val="ListLabel 1062"/>
    <w:qFormat/>
    <w:rPr>
      <w:rFonts w:cs="Garamond"/>
      <w:b/>
      <w:bCs/>
    </w:rPr>
  </w:style>
  <w:style w:type="character" w:customStyle="1" w:styleId="ListLabel1063">
    <w:name w:val="ListLabel 1063"/>
    <w:qFormat/>
    <w:rPr>
      <w:rFonts w:cs="Garamond"/>
      <w:b/>
      <w:bCs/>
    </w:rPr>
  </w:style>
  <w:style w:type="character" w:customStyle="1" w:styleId="ListLabel1064">
    <w:name w:val="ListLabel 1064"/>
    <w:qFormat/>
    <w:rPr>
      <w:rFonts w:cs="Garamond"/>
      <w:b/>
      <w:bCs/>
    </w:rPr>
  </w:style>
  <w:style w:type="character" w:customStyle="1" w:styleId="ListLabel1065">
    <w:name w:val="ListLabel 1065"/>
    <w:qFormat/>
    <w:rPr>
      <w:rFonts w:cs="Garamond"/>
      <w:b/>
      <w:bCs/>
    </w:rPr>
  </w:style>
  <w:style w:type="character" w:customStyle="1" w:styleId="ListLabel1066">
    <w:name w:val="ListLabel 1066"/>
    <w:qFormat/>
    <w:rPr>
      <w:rFonts w:ascii="Calibri" w:hAnsi="Calibri" w:cs="Garamond"/>
      <w:b/>
      <w:bCs/>
      <w:sz w:val="24"/>
    </w:rPr>
  </w:style>
  <w:style w:type="character" w:customStyle="1" w:styleId="ListLabel1067">
    <w:name w:val="ListLabel 1067"/>
    <w:qFormat/>
    <w:rPr>
      <w:rFonts w:cs="Garamond"/>
      <w:b/>
      <w:bCs/>
    </w:rPr>
  </w:style>
  <w:style w:type="character" w:customStyle="1" w:styleId="ListLabel1068">
    <w:name w:val="ListLabel 1068"/>
    <w:qFormat/>
    <w:rPr>
      <w:rFonts w:cs="Garamond"/>
      <w:b/>
      <w:bCs/>
    </w:rPr>
  </w:style>
  <w:style w:type="character" w:customStyle="1" w:styleId="ListLabel1069">
    <w:name w:val="ListLabel 1069"/>
    <w:qFormat/>
    <w:rPr>
      <w:rFonts w:cs="Garamond"/>
      <w:b/>
      <w:bCs/>
    </w:rPr>
  </w:style>
  <w:style w:type="character" w:customStyle="1" w:styleId="ListLabel1070">
    <w:name w:val="ListLabel 1070"/>
    <w:qFormat/>
    <w:rPr>
      <w:rFonts w:cs="Garamond"/>
      <w:b/>
      <w:bCs/>
    </w:rPr>
  </w:style>
  <w:style w:type="character" w:customStyle="1" w:styleId="ListLabel1071">
    <w:name w:val="ListLabel 1071"/>
    <w:qFormat/>
    <w:rPr>
      <w:rFonts w:cs="Garamond"/>
      <w:b/>
      <w:bCs/>
    </w:rPr>
  </w:style>
  <w:style w:type="character" w:customStyle="1" w:styleId="ListLabel1072">
    <w:name w:val="ListLabel 1072"/>
    <w:qFormat/>
    <w:rPr>
      <w:rFonts w:cs="Garamond"/>
      <w:b/>
      <w:bCs/>
    </w:rPr>
  </w:style>
  <w:style w:type="character" w:customStyle="1" w:styleId="ListLabel1073">
    <w:name w:val="ListLabel 1073"/>
    <w:qFormat/>
    <w:rPr>
      <w:rFonts w:cs="Garamond"/>
      <w:b/>
      <w:bCs/>
    </w:rPr>
  </w:style>
  <w:style w:type="character" w:customStyle="1" w:styleId="ListLabel1074">
    <w:name w:val="ListLabel 1074"/>
    <w:qFormat/>
    <w:rPr>
      <w:rFonts w:cs="Garamond"/>
      <w:b/>
      <w:bCs/>
    </w:rPr>
  </w:style>
  <w:style w:type="character" w:customStyle="1" w:styleId="ListLabel1075">
    <w:name w:val="ListLabel 1075"/>
    <w:qFormat/>
    <w:rPr>
      <w:rFonts w:cs="Garamond"/>
      <w:b/>
      <w:bCs/>
      <w:sz w:val="24"/>
    </w:rPr>
  </w:style>
  <w:style w:type="character" w:customStyle="1" w:styleId="ListLabel1076">
    <w:name w:val="ListLabel 1076"/>
    <w:qFormat/>
    <w:rPr>
      <w:rFonts w:cs="Garamond"/>
      <w:b/>
      <w:bCs/>
    </w:rPr>
  </w:style>
  <w:style w:type="character" w:customStyle="1" w:styleId="ListLabel1077">
    <w:name w:val="ListLabel 1077"/>
    <w:qFormat/>
    <w:rPr>
      <w:rFonts w:cs="Garamond"/>
      <w:b/>
      <w:bCs/>
    </w:rPr>
  </w:style>
  <w:style w:type="character" w:customStyle="1" w:styleId="ListLabel1078">
    <w:name w:val="ListLabel 1078"/>
    <w:qFormat/>
    <w:rPr>
      <w:rFonts w:cs="Garamond"/>
      <w:b/>
      <w:bCs/>
    </w:rPr>
  </w:style>
  <w:style w:type="character" w:customStyle="1" w:styleId="ListLabel1079">
    <w:name w:val="ListLabel 1079"/>
    <w:qFormat/>
    <w:rPr>
      <w:rFonts w:cs="Garamond"/>
      <w:b/>
      <w:bCs/>
    </w:rPr>
  </w:style>
  <w:style w:type="character" w:customStyle="1" w:styleId="ListLabel1080">
    <w:name w:val="ListLabel 1080"/>
    <w:qFormat/>
    <w:rPr>
      <w:rFonts w:cs="Garamond"/>
      <w:b/>
      <w:bCs/>
    </w:rPr>
  </w:style>
  <w:style w:type="character" w:customStyle="1" w:styleId="ListLabel1081">
    <w:name w:val="ListLabel 1081"/>
    <w:qFormat/>
    <w:rPr>
      <w:rFonts w:cs="Garamond"/>
      <w:b/>
      <w:bCs/>
    </w:rPr>
  </w:style>
  <w:style w:type="character" w:customStyle="1" w:styleId="ListLabel1082">
    <w:name w:val="ListLabel 1082"/>
    <w:qFormat/>
    <w:rPr>
      <w:rFonts w:cs="Garamond"/>
      <w:b/>
      <w:bCs/>
    </w:rPr>
  </w:style>
  <w:style w:type="character" w:customStyle="1" w:styleId="ListLabel1083">
    <w:name w:val="ListLabel 1083"/>
    <w:qFormat/>
    <w:rPr>
      <w:rFonts w:cs="Garamond"/>
      <w:b/>
      <w:bCs/>
    </w:rPr>
  </w:style>
  <w:style w:type="character" w:customStyle="1" w:styleId="ListLabel1084">
    <w:name w:val="ListLabel 1084"/>
    <w:qFormat/>
    <w:rPr>
      <w:rFonts w:ascii="Calibri" w:hAnsi="Calibri" w:cs="Garamond"/>
      <w:b/>
      <w:bCs/>
      <w:sz w:val="24"/>
    </w:rPr>
  </w:style>
  <w:style w:type="character" w:customStyle="1" w:styleId="ListLabel1085">
    <w:name w:val="ListLabel 1085"/>
    <w:qFormat/>
    <w:rPr>
      <w:rFonts w:cs="Garamond"/>
      <w:b/>
      <w:bCs/>
    </w:rPr>
  </w:style>
  <w:style w:type="character" w:customStyle="1" w:styleId="ListLabel1086">
    <w:name w:val="ListLabel 1086"/>
    <w:qFormat/>
    <w:rPr>
      <w:rFonts w:cs="Garamond"/>
      <w:b/>
      <w:bCs/>
    </w:rPr>
  </w:style>
  <w:style w:type="character" w:customStyle="1" w:styleId="ListLabel1087">
    <w:name w:val="ListLabel 1087"/>
    <w:qFormat/>
    <w:rPr>
      <w:rFonts w:cs="Garamond"/>
      <w:b/>
      <w:bCs/>
    </w:rPr>
  </w:style>
  <w:style w:type="character" w:customStyle="1" w:styleId="ListLabel1088">
    <w:name w:val="ListLabel 1088"/>
    <w:qFormat/>
    <w:rPr>
      <w:rFonts w:cs="Garamond"/>
      <w:b/>
      <w:bCs/>
    </w:rPr>
  </w:style>
  <w:style w:type="character" w:customStyle="1" w:styleId="ListLabel1089">
    <w:name w:val="ListLabel 1089"/>
    <w:qFormat/>
    <w:rPr>
      <w:rFonts w:cs="Garamond"/>
      <w:b/>
      <w:bCs/>
    </w:rPr>
  </w:style>
  <w:style w:type="character" w:customStyle="1" w:styleId="ListLabel1090">
    <w:name w:val="ListLabel 1090"/>
    <w:qFormat/>
    <w:rPr>
      <w:rFonts w:cs="Garamond"/>
      <w:b/>
      <w:bCs/>
    </w:rPr>
  </w:style>
  <w:style w:type="character" w:customStyle="1" w:styleId="ListLabel1091">
    <w:name w:val="ListLabel 1091"/>
    <w:qFormat/>
    <w:rPr>
      <w:rFonts w:cs="Garamond"/>
      <w:b/>
      <w:bCs/>
    </w:rPr>
  </w:style>
  <w:style w:type="character" w:customStyle="1" w:styleId="ListLabel1092">
    <w:name w:val="ListLabel 1092"/>
    <w:qFormat/>
    <w:rPr>
      <w:rFonts w:cs="Garamond"/>
      <w:b/>
      <w:bCs/>
    </w:rPr>
  </w:style>
  <w:style w:type="character" w:customStyle="1" w:styleId="ListLabel1093">
    <w:name w:val="ListLabel 1093"/>
    <w:qFormat/>
    <w:rPr>
      <w:rFonts w:ascii="Calibri" w:hAnsi="Calibri" w:cs="Garamond"/>
      <w:b/>
      <w:bCs/>
      <w:sz w:val="24"/>
    </w:rPr>
  </w:style>
  <w:style w:type="character" w:customStyle="1" w:styleId="ListLabel1094">
    <w:name w:val="ListLabel 1094"/>
    <w:qFormat/>
    <w:rPr>
      <w:rFonts w:cs="Garamond"/>
      <w:b/>
      <w:bCs/>
    </w:rPr>
  </w:style>
  <w:style w:type="character" w:customStyle="1" w:styleId="ListLabel1095">
    <w:name w:val="ListLabel 1095"/>
    <w:qFormat/>
    <w:rPr>
      <w:rFonts w:cs="Garamond"/>
      <w:b/>
      <w:bCs/>
    </w:rPr>
  </w:style>
  <w:style w:type="character" w:customStyle="1" w:styleId="ListLabel1096">
    <w:name w:val="ListLabel 1096"/>
    <w:qFormat/>
    <w:rPr>
      <w:rFonts w:cs="Garamond"/>
      <w:b/>
      <w:bCs/>
    </w:rPr>
  </w:style>
  <w:style w:type="character" w:customStyle="1" w:styleId="ListLabel1097">
    <w:name w:val="ListLabel 1097"/>
    <w:qFormat/>
    <w:rPr>
      <w:rFonts w:cs="Garamond"/>
      <w:b/>
      <w:bCs/>
    </w:rPr>
  </w:style>
  <w:style w:type="character" w:customStyle="1" w:styleId="ListLabel1098">
    <w:name w:val="ListLabel 1098"/>
    <w:qFormat/>
    <w:rPr>
      <w:rFonts w:cs="Garamond"/>
      <w:b/>
      <w:bCs/>
    </w:rPr>
  </w:style>
  <w:style w:type="character" w:customStyle="1" w:styleId="ListLabel1099">
    <w:name w:val="ListLabel 1099"/>
    <w:qFormat/>
    <w:rPr>
      <w:rFonts w:cs="Garamond"/>
      <w:b/>
      <w:bCs/>
    </w:rPr>
  </w:style>
  <w:style w:type="character" w:customStyle="1" w:styleId="ListLabel1100">
    <w:name w:val="ListLabel 1100"/>
    <w:qFormat/>
    <w:rPr>
      <w:rFonts w:cs="Garamond"/>
      <w:b/>
      <w:bCs/>
    </w:rPr>
  </w:style>
  <w:style w:type="character" w:customStyle="1" w:styleId="ListLabel1101">
    <w:name w:val="ListLabel 1101"/>
    <w:qFormat/>
    <w:rPr>
      <w:rFonts w:cs="Garamond"/>
      <w:b/>
      <w:bCs/>
    </w:rPr>
  </w:style>
  <w:style w:type="character" w:customStyle="1" w:styleId="ListLabel1102">
    <w:name w:val="ListLabel 1102"/>
    <w:qFormat/>
    <w:rPr>
      <w:rFonts w:ascii="Calibri" w:hAnsi="Calibri" w:cs="Garamond"/>
      <w:b/>
      <w:bCs/>
      <w:sz w:val="24"/>
    </w:rPr>
  </w:style>
  <w:style w:type="character" w:customStyle="1" w:styleId="ListLabel1103">
    <w:name w:val="ListLabel 1103"/>
    <w:qFormat/>
    <w:rPr>
      <w:rFonts w:cs="Garamond"/>
      <w:b/>
      <w:bCs/>
    </w:rPr>
  </w:style>
  <w:style w:type="character" w:customStyle="1" w:styleId="ListLabel1104">
    <w:name w:val="ListLabel 1104"/>
    <w:qFormat/>
    <w:rPr>
      <w:rFonts w:cs="Garamond"/>
      <w:b/>
      <w:bCs/>
    </w:rPr>
  </w:style>
  <w:style w:type="character" w:customStyle="1" w:styleId="ListLabel1105">
    <w:name w:val="ListLabel 1105"/>
    <w:qFormat/>
    <w:rPr>
      <w:rFonts w:cs="Garamond"/>
      <w:b/>
      <w:bCs/>
    </w:rPr>
  </w:style>
  <w:style w:type="character" w:customStyle="1" w:styleId="ListLabel1106">
    <w:name w:val="ListLabel 1106"/>
    <w:qFormat/>
    <w:rPr>
      <w:rFonts w:cs="Garamond"/>
      <w:b/>
      <w:bCs/>
    </w:rPr>
  </w:style>
  <w:style w:type="character" w:customStyle="1" w:styleId="ListLabel1107">
    <w:name w:val="ListLabel 1107"/>
    <w:qFormat/>
    <w:rPr>
      <w:rFonts w:cs="Garamond"/>
      <w:b/>
      <w:bCs/>
    </w:rPr>
  </w:style>
  <w:style w:type="character" w:customStyle="1" w:styleId="ListLabel1108">
    <w:name w:val="ListLabel 1108"/>
    <w:qFormat/>
    <w:rPr>
      <w:rFonts w:cs="Garamond"/>
      <w:b/>
      <w:bCs/>
    </w:rPr>
  </w:style>
  <w:style w:type="character" w:customStyle="1" w:styleId="ListLabel1109">
    <w:name w:val="ListLabel 1109"/>
    <w:qFormat/>
    <w:rPr>
      <w:rFonts w:cs="Garamond"/>
      <w:b/>
      <w:bCs/>
    </w:rPr>
  </w:style>
  <w:style w:type="character" w:customStyle="1" w:styleId="ListLabel1110">
    <w:name w:val="ListLabel 1110"/>
    <w:qFormat/>
    <w:rPr>
      <w:rFonts w:cs="Garamond"/>
      <w:b/>
      <w:bCs/>
    </w:rPr>
  </w:style>
  <w:style w:type="character" w:customStyle="1" w:styleId="ListLabel1111">
    <w:name w:val="ListLabel 1111"/>
    <w:qFormat/>
    <w:rPr>
      <w:rFonts w:ascii="Calibri" w:hAnsi="Calibri" w:cs="Garamond"/>
      <w:b/>
      <w:bCs/>
      <w:sz w:val="24"/>
    </w:rPr>
  </w:style>
  <w:style w:type="character" w:customStyle="1" w:styleId="ListLabel1112">
    <w:name w:val="ListLabel 1112"/>
    <w:qFormat/>
    <w:rPr>
      <w:rFonts w:cs="Garamond"/>
      <w:b/>
      <w:bCs/>
    </w:rPr>
  </w:style>
  <w:style w:type="character" w:customStyle="1" w:styleId="ListLabel1113">
    <w:name w:val="ListLabel 1113"/>
    <w:qFormat/>
    <w:rPr>
      <w:rFonts w:cs="Garamond"/>
      <w:b/>
      <w:bCs/>
    </w:rPr>
  </w:style>
  <w:style w:type="character" w:customStyle="1" w:styleId="ListLabel1114">
    <w:name w:val="ListLabel 1114"/>
    <w:qFormat/>
    <w:rPr>
      <w:rFonts w:cs="Garamond"/>
      <w:b/>
      <w:bCs/>
    </w:rPr>
  </w:style>
  <w:style w:type="character" w:customStyle="1" w:styleId="ListLabel1115">
    <w:name w:val="ListLabel 1115"/>
    <w:qFormat/>
    <w:rPr>
      <w:rFonts w:cs="Garamond"/>
      <w:b/>
      <w:bCs/>
    </w:rPr>
  </w:style>
  <w:style w:type="character" w:customStyle="1" w:styleId="ListLabel1116">
    <w:name w:val="ListLabel 1116"/>
    <w:qFormat/>
    <w:rPr>
      <w:rFonts w:cs="Garamond"/>
      <w:b/>
      <w:bCs/>
    </w:rPr>
  </w:style>
  <w:style w:type="character" w:customStyle="1" w:styleId="ListLabel1117">
    <w:name w:val="ListLabel 1117"/>
    <w:qFormat/>
    <w:rPr>
      <w:rFonts w:cs="Garamond"/>
      <w:b/>
      <w:bCs/>
    </w:rPr>
  </w:style>
  <w:style w:type="character" w:customStyle="1" w:styleId="ListLabel1118">
    <w:name w:val="ListLabel 1118"/>
    <w:qFormat/>
    <w:rPr>
      <w:rFonts w:cs="Garamond"/>
      <w:b/>
      <w:bCs/>
    </w:rPr>
  </w:style>
  <w:style w:type="character" w:customStyle="1" w:styleId="ListLabel1119">
    <w:name w:val="ListLabel 1119"/>
    <w:qFormat/>
    <w:rPr>
      <w:rFonts w:cs="Garamond"/>
      <w:b/>
      <w:bCs/>
    </w:rPr>
  </w:style>
  <w:style w:type="character" w:customStyle="1" w:styleId="ListLabel1120">
    <w:name w:val="ListLabel 1120"/>
    <w:qFormat/>
    <w:rPr>
      <w:rFonts w:ascii="Calibri" w:hAnsi="Calibri" w:cs="Garamond"/>
      <w:b/>
      <w:bCs/>
      <w:sz w:val="24"/>
    </w:rPr>
  </w:style>
  <w:style w:type="character" w:customStyle="1" w:styleId="ListLabel1121">
    <w:name w:val="ListLabel 1121"/>
    <w:qFormat/>
    <w:rPr>
      <w:rFonts w:cs="Garamond"/>
      <w:b/>
      <w:bCs/>
    </w:rPr>
  </w:style>
  <w:style w:type="character" w:customStyle="1" w:styleId="ListLabel1122">
    <w:name w:val="ListLabel 1122"/>
    <w:qFormat/>
    <w:rPr>
      <w:rFonts w:cs="Garamond"/>
      <w:b/>
      <w:bCs/>
    </w:rPr>
  </w:style>
  <w:style w:type="character" w:customStyle="1" w:styleId="ListLabel1123">
    <w:name w:val="ListLabel 1123"/>
    <w:qFormat/>
    <w:rPr>
      <w:rFonts w:cs="Garamond"/>
      <w:b/>
      <w:bCs/>
    </w:rPr>
  </w:style>
  <w:style w:type="character" w:customStyle="1" w:styleId="ListLabel1124">
    <w:name w:val="ListLabel 1124"/>
    <w:qFormat/>
    <w:rPr>
      <w:rFonts w:cs="Garamond"/>
      <w:b/>
      <w:bCs/>
    </w:rPr>
  </w:style>
  <w:style w:type="character" w:customStyle="1" w:styleId="ListLabel1125">
    <w:name w:val="ListLabel 1125"/>
    <w:qFormat/>
    <w:rPr>
      <w:rFonts w:cs="Garamond"/>
      <w:b/>
      <w:bCs/>
    </w:rPr>
  </w:style>
  <w:style w:type="character" w:customStyle="1" w:styleId="ListLabel1126">
    <w:name w:val="ListLabel 1126"/>
    <w:qFormat/>
    <w:rPr>
      <w:rFonts w:cs="Garamond"/>
      <w:b/>
      <w:bCs/>
    </w:rPr>
  </w:style>
  <w:style w:type="character" w:customStyle="1" w:styleId="ListLabel1127">
    <w:name w:val="ListLabel 1127"/>
    <w:qFormat/>
    <w:rPr>
      <w:rFonts w:cs="Garamond"/>
      <w:b/>
      <w:bCs/>
    </w:rPr>
  </w:style>
  <w:style w:type="character" w:customStyle="1" w:styleId="ListLabel1128">
    <w:name w:val="ListLabel 1128"/>
    <w:qFormat/>
    <w:rPr>
      <w:rFonts w:cs="Garamond"/>
      <w:b/>
      <w:bCs/>
    </w:rPr>
  </w:style>
  <w:style w:type="character" w:customStyle="1" w:styleId="ListLabel1129">
    <w:name w:val="ListLabel 1129"/>
    <w:qFormat/>
    <w:rPr>
      <w:rFonts w:ascii="Calibri" w:hAnsi="Calibri" w:cs="Garamond"/>
      <w:b/>
      <w:bCs/>
      <w:sz w:val="24"/>
    </w:rPr>
  </w:style>
  <w:style w:type="character" w:customStyle="1" w:styleId="ListLabel1130">
    <w:name w:val="ListLabel 1130"/>
    <w:qFormat/>
    <w:rPr>
      <w:rFonts w:ascii="Calibri" w:hAnsi="Calibri" w:cs="Garamond"/>
      <w:b/>
      <w:bCs/>
      <w:sz w:val="24"/>
    </w:rPr>
  </w:style>
  <w:style w:type="character" w:customStyle="1" w:styleId="ListLabel1131">
    <w:name w:val="ListLabel 1131"/>
    <w:qFormat/>
    <w:rPr>
      <w:rFonts w:cs="Garamond"/>
      <w:b/>
      <w:bCs/>
    </w:rPr>
  </w:style>
  <w:style w:type="character" w:customStyle="1" w:styleId="ListLabel1132">
    <w:name w:val="ListLabel 1132"/>
    <w:qFormat/>
    <w:rPr>
      <w:rFonts w:cs="Garamond"/>
      <w:b/>
      <w:bCs/>
    </w:rPr>
  </w:style>
  <w:style w:type="character" w:customStyle="1" w:styleId="ListLabel1133">
    <w:name w:val="ListLabel 1133"/>
    <w:qFormat/>
    <w:rPr>
      <w:rFonts w:cs="Garamond"/>
      <w:b/>
      <w:bCs/>
    </w:rPr>
  </w:style>
  <w:style w:type="character" w:customStyle="1" w:styleId="ListLabel1134">
    <w:name w:val="ListLabel 1134"/>
    <w:qFormat/>
    <w:rPr>
      <w:rFonts w:cs="Garamond"/>
      <w:b/>
      <w:bCs/>
    </w:rPr>
  </w:style>
  <w:style w:type="character" w:customStyle="1" w:styleId="ListLabel1135">
    <w:name w:val="ListLabel 1135"/>
    <w:qFormat/>
    <w:rPr>
      <w:rFonts w:cs="Garamond"/>
      <w:b/>
      <w:bCs/>
    </w:rPr>
  </w:style>
  <w:style w:type="character" w:customStyle="1" w:styleId="ListLabel1136">
    <w:name w:val="ListLabel 1136"/>
    <w:qFormat/>
    <w:rPr>
      <w:rFonts w:cs="Garamond"/>
      <w:b/>
      <w:bCs/>
    </w:rPr>
  </w:style>
  <w:style w:type="character" w:customStyle="1" w:styleId="ListLabel1137">
    <w:name w:val="ListLabel 1137"/>
    <w:qFormat/>
    <w:rPr>
      <w:rFonts w:cs="Garamond"/>
      <w:b/>
      <w:bCs/>
    </w:rPr>
  </w:style>
  <w:style w:type="character" w:customStyle="1" w:styleId="ListLabel1138">
    <w:name w:val="ListLabel 1138"/>
    <w:qFormat/>
    <w:rPr>
      <w:rFonts w:ascii="Calibri" w:hAnsi="Calibri" w:cs="Garamond"/>
      <w:b/>
      <w:bCs/>
      <w:sz w:val="24"/>
    </w:rPr>
  </w:style>
  <w:style w:type="character" w:customStyle="1" w:styleId="ListLabel1139">
    <w:name w:val="ListLabel 1139"/>
    <w:qFormat/>
    <w:rPr>
      <w:rFonts w:cs="Garamond"/>
      <w:b/>
      <w:bCs/>
    </w:rPr>
  </w:style>
  <w:style w:type="character" w:customStyle="1" w:styleId="ListLabel1140">
    <w:name w:val="ListLabel 1140"/>
    <w:qFormat/>
    <w:rPr>
      <w:rFonts w:cs="Garamond"/>
      <w:b/>
      <w:bCs/>
    </w:rPr>
  </w:style>
  <w:style w:type="character" w:customStyle="1" w:styleId="ListLabel1141">
    <w:name w:val="ListLabel 1141"/>
    <w:qFormat/>
    <w:rPr>
      <w:rFonts w:cs="Garamond"/>
      <w:b/>
      <w:bCs/>
    </w:rPr>
  </w:style>
  <w:style w:type="character" w:customStyle="1" w:styleId="ListLabel1142">
    <w:name w:val="ListLabel 1142"/>
    <w:qFormat/>
    <w:rPr>
      <w:rFonts w:cs="Garamond"/>
      <w:b/>
      <w:bCs/>
    </w:rPr>
  </w:style>
  <w:style w:type="character" w:customStyle="1" w:styleId="ListLabel1143">
    <w:name w:val="ListLabel 1143"/>
    <w:qFormat/>
    <w:rPr>
      <w:rFonts w:cs="Garamond"/>
      <w:b/>
      <w:bCs/>
    </w:rPr>
  </w:style>
  <w:style w:type="character" w:customStyle="1" w:styleId="ListLabel1144">
    <w:name w:val="ListLabel 1144"/>
    <w:qFormat/>
    <w:rPr>
      <w:rFonts w:cs="Garamond"/>
      <w:b/>
      <w:bCs/>
    </w:rPr>
  </w:style>
  <w:style w:type="character" w:customStyle="1" w:styleId="ListLabel1145">
    <w:name w:val="ListLabel 1145"/>
    <w:qFormat/>
    <w:rPr>
      <w:rFonts w:cs="Garamond"/>
      <w:b/>
      <w:bCs/>
    </w:rPr>
  </w:style>
  <w:style w:type="character" w:customStyle="1" w:styleId="ListLabel1146">
    <w:name w:val="ListLabel 1146"/>
    <w:qFormat/>
    <w:rPr>
      <w:rFonts w:cs="Garamond"/>
      <w:b/>
      <w:bCs/>
    </w:rPr>
  </w:style>
  <w:style w:type="character" w:customStyle="1" w:styleId="ListLabel1147">
    <w:name w:val="ListLabel 1147"/>
    <w:qFormat/>
    <w:rPr>
      <w:rFonts w:ascii="Calibri" w:hAnsi="Calibri" w:cs="Garamond"/>
      <w:b/>
      <w:bCs/>
      <w:sz w:val="24"/>
    </w:rPr>
  </w:style>
  <w:style w:type="character" w:customStyle="1" w:styleId="ListLabel1148">
    <w:name w:val="ListLabel 1148"/>
    <w:qFormat/>
    <w:rPr>
      <w:rFonts w:ascii="Calibri" w:hAnsi="Calibri" w:cs="Garamond"/>
      <w:b/>
      <w:bCs/>
      <w:sz w:val="24"/>
    </w:rPr>
  </w:style>
  <w:style w:type="character" w:customStyle="1" w:styleId="ListLabel1149">
    <w:name w:val="ListLabel 1149"/>
    <w:qFormat/>
    <w:rPr>
      <w:rFonts w:cs="Garamond"/>
      <w:b/>
      <w:bCs/>
    </w:rPr>
  </w:style>
  <w:style w:type="character" w:customStyle="1" w:styleId="ListLabel1150">
    <w:name w:val="ListLabel 1150"/>
    <w:qFormat/>
    <w:rPr>
      <w:rFonts w:cs="Garamond"/>
      <w:b/>
      <w:bCs/>
    </w:rPr>
  </w:style>
  <w:style w:type="character" w:customStyle="1" w:styleId="ListLabel1151">
    <w:name w:val="ListLabel 1151"/>
    <w:qFormat/>
    <w:rPr>
      <w:rFonts w:cs="Garamond"/>
      <w:b/>
      <w:bCs/>
    </w:rPr>
  </w:style>
  <w:style w:type="character" w:customStyle="1" w:styleId="ListLabel1152">
    <w:name w:val="ListLabel 1152"/>
    <w:qFormat/>
    <w:rPr>
      <w:rFonts w:cs="Garamond"/>
      <w:b/>
      <w:bCs/>
    </w:rPr>
  </w:style>
  <w:style w:type="character" w:customStyle="1" w:styleId="ListLabel1153">
    <w:name w:val="ListLabel 1153"/>
    <w:qFormat/>
    <w:rPr>
      <w:rFonts w:cs="Garamond"/>
      <w:b/>
      <w:bCs/>
    </w:rPr>
  </w:style>
  <w:style w:type="character" w:customStyle="1" w:styleId="ListLabel1154">
    <w:name w:val="ListLabel 1154"/>
    <w:qFormat/>
    <w:rPr>
      <w:rFonts w:cs="Garamond"/>
      <w:b/>
      <w:bCs/>
    </w:rPr>
  </w:style>
  <w:style w:type="character" w:customStyle="1" w:styleId="ListLabel1155">
    <w:name w:val="ListLabel 1155"/>
    <w:qFormat/>
    <w:rPr>
      <w:rFonts w:cs="Garamond"/>
      <w:b/>
      <w:bCs/>
    </w:rPr>
  </w:style>
  <w:style w:type="character" w:customStyle="1" w:styleId="ListLabel1156">
    <w:name w:val="ListLabel 1156"/>
    <w:qFormat/>
    <w:rPr>
      <w:rFonts w:ascii="Calibri" w:hAnsi="Calibri" w:cs="Garamond"/>
      <w:b/>
      <w:bCs/>
      <w:sz w:val="24"/>
    </w:rPr>
  </w:style>
  <w:style w:type="character" w:customStyle="1" w:styleId="ListLabel1157">
    <w:name w:val="ListLabel 1157"/>
    <w:qFormat/>
    <w:rPr>
      <w:rFonts w:cs="Garamond"/>
      <w:b/>
      <w:bCs/>
    </w:rPr>
  </w:style>
  <w:style w:type="character" w:customStyle="1" w:styleId="ListLabel1158">
    <w:name w:val="ListLabel 1158"/>
    <w:qFormat/>
    <w:rPr>
      <w:rFonts w:cs="Garamond"/>
      <w:b/>
      <w:bCs/>
    </w:rPr>
  </w:style>
  <w:style w:type="character" w:customStyle="1" w:styleId="ListLabel1159">
    <w:name w:val="ListLabel 1159"/>
    <w:qFormat/>
    <w:rPr>
      <w:rFonts w:cs="Garamond"/>
      <w:b/>
      <w:bCs/>
    </w:rPr>
  </w:style>
  <w:style w:type="character" w:customStyle="1" w:styleId="ListLabel1160">
    <w:name w:val="ListLabel 1160"/>
    <w:qFormat/>
    <w:rPr>
      <w:rFonts w:cs="Garamond"/>
      <w:b/>
      <w:bCs/>
    </w:rPr>
  </w:style>
  <w:style w:type="character" w:customStyle="1" w:styleId="ListLabel1161">
    <w:name w:val="ListLabel 1161"/>
    <w:qFormat/>
    <w:rPr>
      <w:rFonts w:cs="Garamond"/>
      <w:b/>
      <w:bCs/>
    </w:rPr>
  </w:style>
  <w:style w:type="character" w:customStyle="1" w:styleId="ListLabel1162">
    <w:name w:val="ListLabel 1162"/>
    <w:qFormat/>
    <w:rPr>
      <w:rFonts w:cs="Garamond"/>
      <w:b/>
      <w:bCs/>
    </w:rPr>
  </w:style>
  <w:style w:type="character" w:customStyle="1" w:styleId="ListLabel1163">
    <w:name w:val="ListLabel 1163"/>
    <w:qFormat/>
    <w:rPr>
      <w:rFonts w:cs="Garamond"/>
      <w:b/>
      <w:bCs/>
    </w:rPr>
  </w:style>
  <w:style w:type="character" w:customStyle="1" w:styleId="ListLabel1164">
    <w:name w:val="ListLabel 1164"/>
    <w:qFormat/>
    <w:rPr>
      <w:rFonts w:cs="Garamond"/>
      <w:b/>
      <w:bCs/>
    </w:rPr>
  </w:style>
  <w:style w:type="character" w:customStyle="1" w:styleId="ListLabel1165">
    <w:name w:val="ListLabel 1165"/>
    <w:qFormat/>
    <w:rPr>
      <w:rFonts w:ascii="Calibri" w:hAnsi="Calibri" w:cs="Garamond"/>
      <w:b/>
      <w:bCs/>
      <w:sz w:val="24"/>
    </w:rPr>
  </w:style>
  <w:style w:type="character" w:customStyle="1" w:styleId="ListLabel1166">
    <w:name w:val="ListLabel 1166"/>
    <w:qFormat/>
    <w:rPr>
      <w:rFonts w:cs="Garamond"/>
      <w:b/>
      <w:bCs/>
    </w:rPr>
  </w:style>
  <w:style w:type="character" w:customStyle="1" w:styleId="ListLabel1167">
    <w:name w:val="ListLabel 1167"/>
    <w:qFormat/>
    <w:rPr>
      <w:rFonts w:cs="Garamond"/>
      <w:b/>
      <w:bCs/>
    </w:rPr>
  </w:style>
  <w:style w:type="character" w:customStyle="1" w:styleId="ListLabel1168">
    <w:name w:val="ListLabel 1168"/>
    <w:qFormat/>
    <w:rPr>
      <w:rFonts w:cs="Garamond"/>
      <w:b/>
      <w:bCs/>
    </w:rPr>
  </w:style>
  <w:style w:type="character" w:customStyle="1" w:styleId="ListLabel1169">
    <w:name w:val="ListLabel 1169"/>
    <w:qFormat/>
    <w:rPr>
      <w:rFonts w:cs="Garamond"/>
      <w:b/>
      <w:bCs/>
    </w:rPr>
  </w:style>
  <w:style w:type="character" w:customStyle="1" w:styleId="ListLabel1170">
    <w:name w:val="ListLabel 1170"/>
    <w:qFormat/>
    <w:rPr>
      <w:rFonts w:cs="Garamond"/>
      <w:b/>
      <w:bCs/>
    </w:rPr>
  </w:style>
  <w:style w:type="character" w:customStyle="1" w:styleId="ListLabel1171">
    <w:name w:val="ListLabel 1171"/>
    <w:qFormat/>
    <w:rPr>
      <w:rFonts w:cs="Garamond"/>
      <w:b/>
      <w:bCs/>
    </w:rPr>
  </w:style>
  <w:style w:type="character" w:customStyle="1" w:styleId="ListLabel1172">
    <w:name w:val="ListLabel 1172"/>
    <w:qFormat/>
    <w:rPr>
      <w:rFonts w:cs="Garamond"/>
      <w:b/>
      <w:bCs/>
    </w:rPr>
  </w:style>
  <w:style w:type="character" w:customStyle="1" w:styleId="ListLabel1173">
    <w:name w:val="ListLabel 1173"/>
    <w:qFormat/>
    <w:rPr>
      <w:rFonts w:cs="Garamond"/>
      <w:b/>
      <w:bCs/>
    </w:rPr>
  </w:style>
  <w:style w:type="character" w:customStyle="1" w:styleId="ListLabel1174">
    <w:name w:val="ListLabel 1174"/>
    <w:qFormat/>
    <w:rPr>
      <w:rFonts w:ascii="Calibri" w:hAnsi="Calibri" w:cs="Garamond"/>
      <w:b/>
      <w:bCs/>
      <w:sz w:val="24"/>
    </w:rPr>
  </w:style>
  <w:style w:type="character" w:customStyle="1" w:styleId="ListLabel1175">
    <w:name w:val="ListLabel 1175"/>
    <w:qFormat/>
    <w:rPr>
      <w:rFonts w:cs="Garamond"/>
      <w:b/>
      <w:bCs/>
    </w:rPr>
  </w:style>
  <w:style w:type="character" w:customStyle="1" w:styleId="ListLabel1176">
    <w:name w:val="ListLabel 1176"/>
    <w:qFormat/>
    <w:rPr>
      <w:rFonts w:cs="Garamond"/>
      <w:b/>
      <w:bCs/>
    </w:rPr>
  </w:style>
  <w:style w:type="character" w:customStyle="1" w:styleId="ListLabel1177">
    <w:name w:val="ListLabel 1177"/>
    <w:qFormat/>
    <w:rPr>
      <w:rFonts w:cs="Garamond"/>
      <w:b/>
      <w:bCs/>
    </w:rPr>
  </w:style>
  <w:style w:type="character" w:customStyle="1" w:styleId="ListLabel1178">
    <w:name w:val="ListLabel 1178"/>
    <w:qFormat/>
    <w:rPr>
      <w:rFonts w:cs="Garamond"/>
      <w:b/>
      <w:bCs/>
    </w:rPr>
  </w:style>
  <w:style w:type="character" w:customStyle="1" w:styleId="ListLabel1179">
    <w:name w:val="ListLabel 1179"/>
    <w:qFormat/>
    <w:rPr>
      <w:rFonts w:cs="Garamond"/>
      <w:b/>
      <w:bCs/>
    </w:rPr>
  </w:style>
  <w:style w:type="character" w:customStyle="1" w:styleId="ListLabel1180">
    <w:name w:val="ListLabel 1180"/>
    <w:qFormat/>
    <w:rPr>
      <w:rFonts w:cs="Garamond"/>
      <w:b/>
      <w:bCs/>
    </w:rPr>
  </w:style>
  <w:style w:type="character" w:customStyle="1" w:styleId="ListLabel1181">
    <w:name w:val="ListLabel 1181"/>
    <w:qFormat/>
    <w:rPr>
      <w:rFonts w:cs="Garamond"/>
      <w:b/>
      <w:bCs/>
    </w:rPr>
  </w:style>
  <w:style w:type="character" w:customStyle="1" w:styleId="ListLabel1182">
    <w:name w:val="ListLabel 1182"/>
    <w:qFormat/>
    <w:rPr>
      <w:rFonts w:cs="Garamond"/>
      <w:b/>
      <w:bCs/>
    </w:rPr>
  </w:style>
  <w:style w:type="character" w:customStyle="1" w:styleId="ListLabel1183">
    <w:name w:val="ListLabel 1183"/>
    <w:qFormat/>
    <w:rPr>
      <w:rFonts w:cs="Garamond"/>
      <w:b/>
      <w:bCs/>
      <w:sz w:val="24"/>
    </w:rPr>
  </w:style>
  <w:style w:type="character" w:customStyle="1" w:styleId="ListLabel1184">
    <w:name w:val="ListLabel 1184"/>
    <w:qFormat/>
    <w:rPr>
      <w:rFonts w:cs="Garamond"/>
      <w:b/>
      <w:bCs/>
    </w:rPr>
  </w:style>
  <w:style w:type="character" w:customStyle="1" w:styleId="ListLabel1185">
    <w:name w:val="ListLabel 1185"/>
    <w:qFormat/>
    <w:rPr>
      <w:rFonts w:cs="Garamond"/>
      <w:b/>
      <w:bCs/>
    </w:rPr>
  </w:style>
  <w:style w:type="character" w:customStyle="1" w:styleId="ListLabel1186">
    <w:name w:val="ListLabel 1186"/>
    <w:qFormat/>
    <w:rPr>
      <w:rFonts w:cs="Garamond"/>
      <w:b/>
      <w:bCs/>
    </w:rPr>
  </w:style>
  <w:style w:type="character" w:customStyle="1" w:styleId="ListLabel1187">
    <w:name w:val="ListLabel 1187"/>
    <w:qFormat/>
    <w:rPr>
      <w:rFonts w:cs="Garamond"/>
      <w:b/>
      <w:bCs/>
    </w:rPr>
  </w:style>
  <w:style w:type="character" w:customStyle="1" w:styleId="ListLabel1188">
    <w:name w:val="ListLabel 1188"/>
    <w:qFormat/>
    <w:rPr>
      <w:rFonts w:cs="Garamond"/>
      <w:b/>
      <w:bCs/>
    </w:rPr>
  </w:style>
  <w:style w:type="character" w:customStyle="1" w:styleId="ListLabel1189">
    <w:name w:val="ListLabel 1189"/>
    <w:qFormat/>
    <w:rPr>
      <w:rFonts w:cs="Garamond"/>
      <w:b/>
      <w:bCs/>
    </w:rPr>
  </w:style>
  <w:style w:type="character" w:customStyle="1" w:styleId="ListLabel1190">
    <w:name w:val="ListLabel 1190"/>
    <w:qFormat/>
    <w:rPr>
      <w:rFonts w:cs="Garamond"/>
      <w:b/>
      <w:bCs/>
    </w:rPr>
  </w:style>
  <w:style w:type="character" w:customStyle="1" w:styleId="ListLabel1191">
    <w:name w:val="ListLabel 1191"/>
    <w:qFormat/>
    <w:rPr>
      <w:rFonts w:cs="Garamond"/>
      <w:b/>
      <w:bCs/>
    </w:rPr>
  </w:style>
  <w:style w:type="character" w:customStyle="1" w:styleId="ListLabel1192">
    <w:name w:val="ListLabel 1192"/>
    <w:qFormat/>
    <w:rPr>
      <w:rFonts w:ascii="Calibri" w:hAnsi="Calibri" w:cs="Garamond"/>
      <w:b/>
      <w:bCs/>
      <w:sz w:val="24"/>
    </w:rPr>
  </w:style>
  <w:style w:type="character" w:customStyle="1" w:styleId="ListLabel1193">
    <w:name w:val="ListLabel 1193"/>
    <w:qFormat/>
    <w:rPr>
      <w:rFonts w:cs="Garamond"/>
      <w:b/>
      <w:bCs/>
    </w:rPr>
  </w:style>
  <w:style w:type="character" w:customStyle="1" w:styleId="ListLabel1194">
    <w:name w:val="ListLabel 1194"/>
    <w:qFormat/>
    <w:rPr>
      <w:rFonts w:cs="Garamond"/>
      <w:b/>
      <w:bCs/>
    </w:rPr>
  </w:style>
  <w:style w:type="character" w:customStyle="1" w:styleId="ListLabel1195">
    <w:name w:val="ListLabel 1195"/>
    <w:qFormat/>
    <w:rPr>
      <w:rFonts w:cs="Garamond"/>
      <w:b/>
      <w:bCs/>
    </w:rPr>
  </w:style>
  <w:style w:type="character" w:customStyle="1" w:styleId="ListLabel1196">
    <w:name w:val="ListLabel 1196"/>
    <w:qFormat/>
    <w:rPr>
      <w:rFonts w:cs="Garamond"/>
      <w:b/>
      <w:bCs/>
    </w:rPr>
  </w:style>
  <w:style w:type="character" w:customStyle="1" w:styleId="ListLabel1197">
    <w:name w:val="ListLabel 1197"/>
    <w:qFormat/>
    <w:rPr>
      <w:rFonts w:cs="Garamond"/>
      <w:b/>
      <w:bCs/>
    </w:rPr>
  </w:style>
  <w:style w:type="character" w:customStyle="1" w:styleId="ListLabel1198">
    <w:name w:val="ListLabel 1198"/>
    <w:qFormat/>
    <w:rPr>
      <w:rFonts w:cs="Garamond"/>
      <w:b/>
      <w:bCs/>
    </w:rPr>
  </w:style>
  <w:style w:type="character" w:customStyle="1" w:styleId="ListLabel1199">
    <w:name w:val="ListLabel 1199"/>
    <w:qFormat/>
    <w:rPr>
      <w:rFonts w:cs="Garamond"/>
      <w:b/>
      <w:bCs/>
    </w:rPr>
  </w:style>
  <w:style w:type="character" w:customStyle="1" w:styleId="ListLabel1200">
    <w:name w:val="ListLabel 1200"/>
    <w:qFormat/>
    <w:rPr>
      <w:rFonts w:cs="Garamond"/>
      <w:b/>
      <w:bCs/>
    </w:rPr>
  </w:style>
  <w:style w:type="character" w:customStyle="1" w:styleId="ListLabel1201">
    <w:name w:val="ListLabel 1201"/>
    <w:qFormat/>
    <w:rPr>
      <w:rFonts w:ascii="Calibri" w:hAnsi="Calibri" w:cs="Garamond"/>
      <w:b/>
      <w:bCs/>
      <w:sz w:val="24"/>
    </w:rPr>
  </w:style>
  <w:style w:type="character" w:customStyle="1" w:styleId="ListLabel1202">
    <w:name w:val="ListLabel 1202"/>
    <w:qFormat/>
    <w:rPr>
      <w:rFonts w:cs="Garamond"/>
      <w:b/>
      <w:bCs/>
    </w:rPr>
  </w:style>
  <w:style w:type="character" w:customStyle="1" w:styleId="ListLabel1203">
    <w:name w:val="ListLabel 1203"/>
    <w:qFormat/>
    <w:rPr>
      <w:rFonts w:cs="Garamond"/>
      <w:b/>
      <w:bCs/>
    </w:rPr>
  </w:style>
  <w:style w:type="character" w:customStyle="1" w:styleId="ListLabel1204">
    <w:name w:val="ListLabel 1204"/>
    <w:qFormat/>
    <w:rPr>
      <w:rFonts w:cs="Garamond"/>
      <w:b/>
      <w:bCs/>
    </w:rPr>
  </w:style>
  <w:style w:type="character" w:customStyle="1" w:styleId="ListLabel1205">
    <w:name w:val="ListLabel 1205"/>
    <w:qFormat/>
    <w:rPr>
      <w:rFonts w:cs="Garamond"/>
      <w:b/>
      <w:bCs/>
    </w:rPr>
  </w:style>
  <w:style w:type="character" w:customStyle="1" w:styleId="ListLabel1206">
    <w:name w:val="ListLabel 1206"/>
    <w:qFormat/>
    <w:rPr>
      <w:rFonts w:cs="Garamond"/>
      <w:b/>
      <w:bCs/>
    </w:rPr>
  </w:style>
  <w:style w:type="character" w:customStyle="1" w:styleId="ListLabel1207">
    <w:name w:val="ListLabel 1207"/>
    <w:qFormat/>
    <w:rPr>
      <w:rFonts w:cs="Garamond"/>
      <w:b/>
      <w:bCs/>
    </w:rPr>
  </w:style>
  <w:style w:type="character" w:customStyle="1" w:styleId="ListLabel1208">
    <w:name w:val="ListLabel 1208"/>
    <w:qFormat/>
    <w:rPr>
      <w:rFonts w:cs="Garamond"/>
      <w:b/>
      <w:bCs/>
    </w:rPr>
  </w:style>
  <w:style w:type="character" w:customStyle="1" w:styleId="ListLabel1209">
    <w:name w:val="ListLabel 1209"/>
    <w:qFormat/>
    <w:rPr>
      <w:rFonts w:cs="Garamond"/>
      <w:b/>
      <w:bCs/>
    </w:rPr>
  </w:style>
  <w:style w:type="character" w:customStyle="1" w:styleId="ListLabel1210">
    <w:name w:val="ListLabel 1210"/>
    <w:qFormat/>
    <w:rPr>
      <w:rFonts w:ascii="Calibri" w:hAnsi="Calibri" w:cs="Garamond"/>
      <w:b/>
      <w:bCs/>
      <w:sz w:val="24"/>
    </w:rPr>
  </w:style>
  <w:style w:type="character" w:customStyle="1" w:styleId="ListLabel1211">
    <w:name w:val="ListLabel 1211"/>
    <w:qFormat/>
    <w:rPr>
      <w:rFonts w:cs="Garamond"/>
      <w:b/>
      <w:bCs/>
    </w:rPr>
  </w:style>
  <w:style w:type="character" w:customStyle="1" w:styleId="ListLabel1212">
    <w:name w:val="ListLabel 1212"/>
    <w:qFormat/>
    <w:rPr>
      <w:rFonts w:cs="Garamond"/>
      <w:b/>
      <w:bCs/>
    </w:rPr>
  </w:style>
  <w:style w:type="character" w:customStyle="1" w:styleId="ListLabel1213">
    <w:name w:val="ListLabel 1213"/>
    <w:qFormat/>
    <w:rPr>
      <w:rFonts w:cs="Garamond"/>
      <w:b/>
      <w:bCs/>
    </w:rPr>
  </w:style>
  <w:style w:type="character" w:customStyle="1" w:styleId="ListLabel1214">
    <w:name w:val="ListLabel 1214"/>
    <w:qFormat/>
    <w:rPr>
      <w:rFonts w:cs="Garamond"/>
      <w:b/>
      <w:bCs/>
    </w:rPr>
  </w:style>
  <w:style w:type="character" w:customStyle="1" w:styleId="ListLabel1215">
    <w:name w:val="ListLabel 1215"/>
    <w:qFormat/>
    <w:rPr>
      <w:rFonts w:cs="Garamond"/>
      <w:b/>
      <w:bCs/>
    </w:rPr>
  </w:style>
  <w:style w:type="character" w:customStyle="1" w:styleId="ListLabel1216">
    <w:name w:val="ListLabel 1216"/>
    <w:qFormat/>
    <w:rPr>
      <w:rFonts w:cs="Garamond"/>
      <w:b/>
      <w:bCs/>
    </w:rPr>
  </w:style>
  <w:style w:type="character" w:customStyle="1" w:styleId="ListLabel1217">
    <w:name w:val="ListLabel 1217"/>
    <w:qFormat/>
    <w:rPr>
      <w:rFonts w:cs="Garamond"/>
      <w:b/>
      <w:bCs/>
    </w:rPr>
  </w:style>
  <w:style w:type="character" w:customStyle="1" w:styleId="ListLabel1218">
    <w:name w:val="ListLabel 1218"/>
    <w:qFormat/>
    <w:rPr>
      <w:rFonts w:cs="Garamond"/>
      <w:b/>
      <w:bCs/>
    </w:rPr>
  </w:style>
  <w:style w:type="character" w:customStyle="1" w:styleId="ListLabel1219">
    <w:name w:val="ListLabel 1219"/>
    <w:qFormat/>
    <w:rPr>
      <w:rFonts w:ascii="Calibri" w:hAnsi="Calibri" w:cs="Garamond"/>
      <w:b/>
      <w:bCs/>
      <w:sz w:val="24"/>
    </w:rPr>
  </w:style>
  <w:style w:type="character" w:customStyle="1" w:styleId="ListLabel1220">
    <w:name w:val="ListLabel 1220"/>
    <w:qFormat/>
    <w:rPr>
      <w:rFonts w:cs="Garamond"/>
      <w:b/>
      <w:bCs/>
    </w:rPr>
  </w:style>
  <w:style w:type="character" w:customStyle="1" w:styleId="ListLabel1221">
    <w:name w:val="ListLabel 1221"/>
    <w:qFormat/>
    <w:rPr>
      <w:rFonts w:cs="Garamond"/>
      <w:b/>
      <w:bCs/>
    </w:rPr>
  </w:style>
  <w:style w:type="character" w:customStyle="1" w:styleId="ListLabel1222">
    <w:name w:val="ListLabel 1222"/>
    <w:qFormat/>
    <w:rPr>
      <w:rFonts w:cs="Garamond"/>
      <w:b/>
      <w:bCs/>
    </w:rPr>
  </w:style>
  <w:style w:type="character" w:customStyle="1" w:styleId="ListLabel1223">
    <w:name w:val="ListLabel 1223"/>
    <w:qFormat/>
    <w:rPr>
      <w:rFonts w:cs="Garamond"/>
      <w:b/>
      <w:bCs/>
    </w:rPr>
  </w:style>
  <w:style w:type="character" w:customStyle="1" w:styleId="ListLabel1224">
    <w:name w:val="ListLabel 1224"/>
    <w:qFormat/>
    <w:rPr>
      <w:rFonts w:cs="Garamond"/>
      <w:b/>
      <w:bCs/>
    </w:rPr>
  </w:style>
  <w:style w:type="character" w:customStyle="1" w:styleId="ListLabel1225">
    <w:name w:val="ListLabel 1225"/>
    <w:qFormat/>
    <w:rPr>
      <w:rFonts w:cs="Garamond"/>
      <w:b/>
      <w:bCs/>
    </w:rPr>
  </w:style>
  <w:style w:type="character" w:customStyle="1" w:styleId="ListLabel1226">
    <w:name w:val="ListLabel 1226"/>
    <w:qFormat/>
    <w:rPr>
      <w:rFonts w:cs="Garamond"/>
      <w:b/>
      <w:bCs/>
    </w:rPr>
  </w:style>
  <w:style w:type="character" w:customStyle="1" w:styleId="ListLabel1227">
    <w:name w:val="ListLabel 1227"/>
    <w:qFormat/>
    <w:rPr>
      <w:rFonts w:cs="Garamond"/>
      <w:b/>
      <w:bCs/>
    </w:rPr>
  </w:style>
  <w:style w:type="character" w:customStyle="1" w:styleId="ListLabel1228">
    <w:name w:val="ListLabel 1228"/>
    <w:qFormat/>
    <w:rPr>
      <w:rFonts w:ascii="Calibri" w:hAnsi="Calibri" w:cs="Garamond"/>
      <w:b/>
      <w:bCs/>
      <w:sz w:val="24"/>
    </w:rPr>
  </w:style>
  <w:style w:type="character" w:customStyle="1" w:styleId="ListLabel1229">
    <w:name w:val="ListLabel 1229"/>
    <w:qFormat/>
    <w:rPr>
      <w:rFonts w:cs="Garamond"/>
      <w:b/>
      <w:bCs/>
    </w:rPr>
  </w:style>
  <w:style w:type="character" w:customStyle="1" w:styleId="ListLabel1230">
    <w:name w:val="ListLabel 1230"/>
    <w:qFormat/>
    <w:rPr>
      <w:rFonts w:cs="Garamond"/>
      <w:b/>
      <w:bCs/>
    </w:rPr>
  </w:style>
  <w:style w:type="character" w:customStyle="1" w:styleId="ListLabel1231">
    <w:name w:val="ListLabel 1231"/>
    <w:qFormat/>
    <w:rPr>
      <w:rFonts w:cs="Garamond"/>
      <w:b/>
      <w:bCs/>
    </w:rPr>
  </w:style>
  <w:style w:type="character" w:customStyle="1" w:styleId="ListLabel1232">
    <w:name w:val="ListLabel 1232"/>
    <w:qFormat/>
    <w:rPr>
      <w:rFonts w:cs="Garamond"/>
      <w:b/>
      <w:bCs/>
    </w:rPr>
  </w:style>
  <w:style w:type="character" w:customStyle="1" w:styleId="ListLabel1233">
    <w:name w:val="ListLabel 1233"/>
    <w:qFormat/>
    <w:rPr>
      <w:rFonts w:cs="Garamond"/>
      <w:b/>
      <w:bCs/>
    </w:rPr>
  </w:style>
  <w:style w:type="character" w:customStyle="1" w:styleId="ListLabel1234">
    <w:name w:val="ListLabel 1234"/>
    <w:qFormat/>
    <w:rPr>
      <w:rFonts w:cs="Garamond"/>
      <w:b/>
      <w:bCs/>
    </w:rPr>
  </w:style>
  <w:style w:type="character" w:customStyle="1" w:styleId="ListLabel1235">
    <w:name w:val="ListLabel 1235"/>
    <w:qFormat/>
    <w:rPr>
      <w:rFonts w:cs="Garamond"/>
      <w:b/>
      <w:bCs/>
    </w:rPr>
  </w:style>
  <w:style w:type="character" w:customStyle="1" w:styleId="ListLabel1236">
    <w:name w:val="ListLabel 1236"/>
    <w:qFormat/>
    <w:rPr>
      <w:rFonts w:cs="Garamond"/>
      <w:b/>
      <w:bCs/>
    </w:rPr>
  </w:style>
  <w:style w:type="character" w:customStyle="1" w:styleId="ListLabel1237">
    <w:name w:val="ListLabel 1237"/>
    <w:qFormat/>
    <w:rPr>
      <w:rFonts w:ascii="Calibri" w:hAnsi="Calibri" w:cs="Garamond"/>
      <w:b/>
      <w:bCs/>
      <w:sz w:val="24"/>
    </w:rPr>
  </w:style>
  <w:style w:type="character" w:customStyle="1" w:styleId="ListLabel1238">
    <w:name w:val="ListLabel 1238"/>
    <w:qFormat/>
    <w:rPr>
      <w:rFonts w:ascii="Calibri" w:hAnsi="Calibri" w:cs="Garamond"/>
      <w:b/>
      <w:bCs/>
      <w:sz w:val="24"/>
    </w:rPr>
  </w:style>
  <w:style w:type="character" w:customStyle="1" w:styleId="ListLabel1239">
    <w:name w:val="ListLabel 1239"/>
    <w:qFormat/>
    <w:rPr>
      <w:rFonts w:cs="Garamond"/>
      <w:b/>
      <w:bCs/>
    </w:rPr>
  </w:style>
  <w:style w:type="character" w:customStyle="1" w:styleId="ListLabel1240">
    <w:name w:val="ListLabel 1240"/>
    <w:qFormat/>
    <w:rPr>
      <w:rFonts w:cs="Garamond"/>
      <w:b/>
      <w:bCs/>
    </w:rPr>
  </w:style>
  <w:style w:type="character" w:customStyle="1" w:styleId="ListLabel1241">
    <w:name w:val="ListLabel 1241"/>
    <w:qFormat/>
    <w:rPr>
      <w:rFonts w:cs="Garamond"/>
      <w:b/>
      <w:bCs/>
    </w:rPr>
  </w:style>
  <w:style w:type="character" w:customStyle="1" w:styleId="ListLabel1242">
    <w:name w:val="ListLabel 1242"/>
    <w:qFormat/>
    <w:rPr>
      <w:rFonts w:cs="Garamond"/>
      <w:b/>
      <w:bCs/>
    </w:rPr>
  </w:style>
  <w:style w:type="character" w:customStyle="1" w:styleId="ListLabel1243">
    <w:name w:val="ListLabel 1243"/>
    <w:qFormat/>
    <w:rPr>
      <w:rFonts w:cs="Garamond"/>
      <w:b/>
      <w:bCs/>
    </w:rPr>
  </w:style>
  <w:style w:type="character" w:customStyle="1" w:styleId="ListLabel1244">
    <w:name w:val="ListLabel 1244"/>
    <w:qFormat/>
    <w:rPr>
      <w:rFonts w:cs="Garamond"/>
      <w:b/>
      <w:bCs/>
    </w:rPr>
  </w:style>
  <w:style w:type="character" w:customStyle="1" w:styleId="ListLabel1245">
    <w:name w:val="ListLabel 1245"/>
    <w:qFormat/>
    <w:rPr>
      <w:rFonts w:cs="Garamond"/>
      <w:b/>
      <w:bCs/>
    </w:rPr>
  </w:style>
  <w:style w:type="character" w:customStyle="1" w:styleId="ListLabel1246">
    <w:name w:val="ListLabel 1246"/>
    <w:qFormat/>
    <w:rPr>
      <w:rFonts w:ascii="Calibri" w:hAnsi="Calibri" w:cs="Garamond"/>
      <w:b/>
      <w:bCs/>
      <w:sz w:val="24"/>
    </w:rPr>
  </w:style>
  <w:style w:type="character" w:customStyle="1" w:styleId="ListLabel1247">
    <w:name w:val="ListLabel 1247"/>
    <w:qFormat/>
    <w:rPr>
      <w:rFonts w:cs="Garamond"/>
      <w:b/>
      <w:bCs/>
    </w:rPr>
  </w:style>
  <w:style w:type="character" w:customStyle="1" w:styleId="ListLabel1248">
    <w:name w:val="ListLabel 1248"/>
    <w:qFormat/>
    <w:rPr>
      <w:rFonts w:cs="Garamond"/>
      <w:b/>
      <w:bCs/>
    </w:rPr>
  </w:style>
  <w:style w:type="character" w:customStyle="1" w:styleId="ListLabel1249">
    <w:name w:val="ListLabel 1249"/>
    <w:qFormat/>
    <w:rPr>
      <w:rFonts w:cs="Garamond"/>
      <w:b/>
      <w:bCs/>
    </w:rPr>
  </w:style>
  <w:style w:type="character" w:customStyle="1" w:styleId="ListLabel1250">
    <w:name w:val="ListLabel 1250"/>
    <w:qFormat/>
    <w:rPr>
      <w:rFonts w:cs="Garamond"/>
      <w:b/>
      <w:bCs/>
    </w:rPr>
  </w:style>
  <w:style w:type="character" w:customStyle="1" w:styleId="ListLabel1251">
    <w:name w:val="ListLabel 1251"/>
    <w:qFormat/>
    <w:rPr>
      <w:rFonts w:cs="Garamond"/>
      <w:b/>
      <w:bCs/>
    </w:rPr>
  </w:style>
  <w:style w:type="character" w:customStyle="1" w:styleId="ListLabel1252">
    <w:name w:val="ListLabel 1252"/>
    <w:qFormat/>
    <w:rPr>
      <w:rFonts w:cs="Garamond"/>
      <w:b/>
      <w:bCs/>
    </w:rPr>
  </w:style>
  <w:style w:type="character" w:customStyle="1" w:styleId="ListLabel1253">
    <w:name w:val="ListLabel 1253"/>
    <w:qFormat/>
    <w:rPr>
      <w:rFonts w:cs="Garamond"/>
      <w:b/>
      <w:bCs/>
    </w:rPr>
  </w:style>
  <w:style w:type="character" w:customStyle="1" w:styleId="ListLabel1254">
    <w:name w:val="ListLabel 1254"/>
    <w:qFormat/>
    <w:rPr>
      <w:rFonts w:cs="Garamond"/>
      <w:b/>
      <w:bCs/>
    </w:rPr>
  </w:style>
  <w:style w:type="character" w:customStyle="1" w:styleId="ListLabel1255">
    <w:name w:val="ListLabel 1255"/>
    <w:qFormat/>
    <w:rPr>
      <w:rFonts w:ascii="Calibri" w:hAnsi="Calibri" w:cs="Garamond"/>
      <w:b/>
      <w:bCs/>
      <w:sz w:val="24"/>
    </w:rPr>
  </w:style>
  <w:style w:type="character" w:customStyle="1" w:styleId="ListLabel1256">
    <w:name w:val="ListLabel 1256"/>
    <w:qFormat/>
    <w:rPr>
      <w:rFonts w:ascii="Calibri" w:hAnsi="Calibri" w:cs="Garamond"/>
      <w:b/>
      <w:bCs/>
      <w:sz w:val="24"/>
    </w:rPr>
  </w:style>
  <w:style w:type="character" w:customStyle="1" w:styleId="ListLabel1257">
    <w:name w:val="ListLabel 1257"/>
    <w:qFormat/>
    <w:rPr>
      <w:rFonts w:cs="Garamond"/>
      <w:b/>
      <w:bCs/>
    </w:rPr>
  </w:style>
  <w:style w:type="character" w:customStyle="1" w:styleId="ListLabel1258">
    <w:name w:val="ListLabel 1258"/>
    <w:qFormat/>
    <w:rPr>
      <w:rFonts w:cs="Garamond"/>
      <w:b/>
      <w:bCs/>
    </w:rPr>
  </w:style>
  <w:style w:type="character" w:customStyle="1" w:styleId="ListLabel1259">
    <w:name w:val="ListLabel 1259"/>
    <w:qFormat/>
    <w:rPr>
      <w:rFonts w:cs="Garamond"/>
      <w:b/>
      <w:bCs/>
    </w:rPr>
  </w:style>
  <w:style w:type="character" w:customStyle="1" w:styleId="ListLabel1260">
    <w:name w:val="ListLabel 1260"/>
    <w:qFormat/>
    <w:rPr>
      <w:rFonts w:cs="Garamond"/>
      <w:b/>
      <w:bCs/>
    </w:rPr>
  </w:style>
  <w:style w:type="character" w:customStyle="1" w:styleId="ListLabel1261">
    <w:name w:val="ListLabel 1261"/>
    <w:qFormat/>
    <w:rPr>
      <w:rFonts w:cs="Garamond"/>
      <w:b/>
      <w:bCs/>
    </w:rPr>
  </w:style>
  <w:style w:type="character" w:customStyle="1" w:styleId="ListLabel1262">
    <w:name w:val="ListLabel 1262"/>
    <w:qFormat/>
    <w:rPr>
      <w:rFonts w:cs="Garamond"/>
      <w:b/>
      <w:bCs/>
    </w:rPr>
  </w:style>
  <w:style w:type="character" w:customStyle="1" w:styleId="ListLabel1263">
    <w:name w:val="ListLabel 1263"/>
    <w:qFormat/>
    <w:rPr>
      <w:rFonts w:cs="Garamond"/>
      <w:b/>
      <w:bCs/>
    </w:rPr>
  </w:style>
  <w:style w:type="character" w:customStyle="1" w:styleId="ListLabel1264">
    <w:name w:val="ListLabel 1264"/>
    <w:qFormat/>
    <w:rPr>
      <w:rFonts w:ascii="Calibri" w:hAnsi="Calibri" w:cs="Garamond"/>
      <w:b/>
      <w:bCs/>
      <w:sz w:val="24"/>
    </w:rPr>
  </w:style>
  <w:style w:type="character" w:customStyle="1" w:styleId="ListLabel1265">
    <w:name w:val="ListLabel 1265"/>
    <w:qFormat/>
    <w:rPr>
      <w:rFonts w:cs="Garamond"/>
      <w:b/>
      <w:bCs/>
    </w:rPr>
  </w:style>
  <w:style w:type="character" w:customStyle="1" w:styleId="ListLabel1266">
    <w:name w:val="ListLabel 1266"/>
    <w:qFormat/>
    <w:rPr>
      <w:rFonts w:cs="Garamond"/>
      <w:b/>
      <w:bCs/>
    </w:rPr>
  </w:style>
  <w:style w:type="character" w:customStyle="1" w:styleId="ListLabel1267">
    <w:name w:val="ListLabel 1267"/>
    <w:qFormat/>
    <w:rPr>
      <w:rFonts w:cs="Garamond"/>
      <w:b/>
      <w:bCs/>
    </w:rPr>
  </w:style>
  <w:style w:type="character" w:customStyle="1" w:styleId="ListLabel1268">
    <w:name w:val="ListLabel 1268"/>
    <w:qFormat/>
    <w:rPr>
      <w:rFonts w:cs="Garamond"/>
      <w:b/>
      <w:bCs/>
    </w:rPr>
  </w:style>
  <w:style w:type="character" w:customStyle="1" w:styleId="ListLabel1269">
    <w:name w:val="ListLabel 1269"/>
    <w:qFormat/>
    <w:rPr>
      <w:rFonts w:cs="Garamond"/>
      <w:b/>
      <w:bCs/>
    </w:rPr>
  </w:style>
  <w:style w:type="character" w:customStyle="1" w:styleId="ListLabel1270">
    <w:name w:val="ListLabel 1270"/>
    <w:qFormat/>
    <w:rPr>
      <w:rFonts w:cs="Garamond"/>
      <w:b/>
      <w:bCs/>
    </w:rPr>
  </w:style>
  <w:style w:type="character" w:customStyle="1" w:styleId="ListLabel1271">
    <w:name w:val="ListLabel 1271"/>
    <w:qFormat/>
    <w:rPr>
      <w:rFonts w:cs="Garamond"/>
      <w:b/>
      <w:bCs/>
    </w:rPr>
  </w:style>
  <w:style w:type="character" w:customStyle="1" w:styleId="ListLabel1272">
    <w:name w:val="ListLabel 1272"/>
    <w:qFormat/>
    <w:rPr>
      <w:rFonts w:cs="Garamond"/>
      <w:b/>
      <w:bCs/>
    </w:rPr>
  </w:style>
  <w:style w:type="character" w:customStyle="1" w:styleId="ListLabel1273">
    <w:name w:val="ListLabel 1273"/>
    <w:qFormat/>
    <w:rPr>
      <w:rFonts w:ascii="Calibri" w:hAnsi="Calibri" w:cs="Garamond"/>
      <w:b/>
      <w:bCs/>
      <w:sz w:val="24"/>
    </w:rPr>
  </w:style>
  <w:style w:type="character" w:customStyle="1" w:styleId="ListLabel1274">
    <w:name w:val="ListLabel 1274"/>
    <w:qFormat/>
    <w:rPr>
      <w:rFonts w:cs="Garamond"/>
      <w:b/>
      <w:bCs/>
    </w:rPr>
  </w:style>
  <w:style w:type="character" w:customStyle="1" w:styleId="ListLabel1275">
    <w:name w:val="ListLabel 1275"/>
    <w:qFormat/>
    <w:rPr>
      <w:rFonts w:cs="Garamond"/>
      <w:b/>
      <w:bCs/>
    </w:rPr>
  </w:style>
  <w:style w:type="character" w:customStyle="1" w:styleId="ListLabel1276">
    <w:name w:val="ListLabel 1276"/>
    <w:qFormat/>
    <w:rPr>
      <w:rFonts w:cs="Garamond"/>
      <w:b/>
      <w:bCs/>
    </w:rPr>
  </w:style>
  <w:style w:type="character" w:customStyle="1" w:styleId="ListLabel1277">
    <w:name w:val="ListLabel 1277"/>
    <w:qFormat/>
    <w:rPr>
      <w:rFonts w:cs="Garamond"/>
      <w:b/>
      <w:bCs/>
    </w:rPr>
  </w:style>
  <w:style w:type="character" w:customStyle="1" w:styleId="ListLabel1278">
    <w:name w:val="ListLabel 1278"/>
    <w:qFormat/>
    <w:rPr>
      <w:rFonts w:cs="Garamond"/>
      <w:b/>
      <w:bCs/>
    </w:rPr>
  </w:style>
  <w:style w:type="character" w:customStyle="1" w:styleId="ListLabel1279">
    <w:name w:val="ListLabel 1279"/>
    <w:qFormat/>
    <w:rPr>
      <w:rFonts w:cs="Garamond"/>
      <w:b/>
      <w:bCs/>
    </w:rPr>
  </w:style>
  <w:style w:type="character" w:customStyle="1" w:styleId="ListLabel1280">
    <w:name w:val="ListLabel 1280"/>
    <w:qFormat/>
    <w:rPr>
      <w:rFonts w:cs="Garamond"/>
      <w:b/>
      <w:bCs/>
    </w:rPr>
  </w:style>
  <w:style w:type="character" w:customStyle="1" w:styleId="ListLabel1281">
    <w:name w:val="ListLabel 1281"/>
    <w:qFormat/>
    <w:rPr>
      <w:rFonts w:cs="Garamond"/>
      <w:b/>
      <w:bCs/>
    </w:rPr>
  </w:style>
  <w:style w:type="character" w:customStyle="1" w:styleId="ListLabel1282">
    <w:name w:val="ListLabel 1282"/>
    <w:qFormat/>
    <w:rPr>
      <w:rFonts w:ascii="Calibri" w:hAnsi="Calibri" w:cs="Garamond"/>
      <w:b/>
      <w:bCs/>
      <w:sz w:val="24"/>
    </w:rPr>
  </w:style>
  <w:style w:type="character" w:customStyle="1" w:styleId="ListLabel1283">
    <w:name w:val="ListLabel 1283"/>
    <w:qFormat/>
    <w:rPr>
      <w:rFonts w:cs="Garamond"/>
      <w:b/>
      <w:bCs/>
    </w:rPr>
  </w:style>
  <w:style w:type="character" w:customStyle="1" w:styleId="ListLabel1284">
    <w:name w:val="ListLabel 1284"/>
    <w:qFormat/>
    <w:rPr>
      <w:rFonts w:cs="Garamond"/>
      <w:b/>
      <w:bCs/>
    </w:rPr>
  </w:style>
  <w:style w:type="character" w:customStyle="1" w:styleId="ListLabel1285">
    <w:name w:val="ListLabel 1285"/>
    <w:qFormat/>
    <w:rPr>
      <w:rFonts w:cs="Garamond"/>
      <w:b/>
      <w:bCs/>
    </w:rPr>
  </w:style>
  <w:style w:type="character" w:customStyle="1" w:styleId="ListLabel1286">
    <w:name w:val="ListLabel 1286"/>
    <w:qFormat/>
    <w:rPr>
      <w:rFonts w:cs="Garamond"/>
      <w:b/>
      <w:bCs/>
    </w:rPr>
  </w:style>
  <w:style w:type="character" w:customStyle="1" w:styleId="ListLabel1287">
    <w:name w:val="ListLabel 1287"/>
    <w:qFormat/>
    <w:rPr>
      <w:rFonts w:cs="Garamond"/>
      <w:b/>
      <w:bCs/>
    </w:rPr>
  </w:style>
  <w:style w:type="character" w:customStyle="1" w:styleId="ListLabel1288">
    <w:name w:val="ListLabel 1288"/>
    <w:qFormat/>
    <w:rPr>
      <w:rFonts w:cs="Garamond"/>
      <w:b/>
      <w:bCs/>
    </w:rPr>
  </w:style>
  <w:style w:type="character" w:customStyle="1" w:styleId="ListLabel1289">
    <w:name w:val="ListLabel 1289"/>
    <w:qFormat/>
    <w:rPr>
      <w:rFonts w:cs="Garamond"/>
      <w:b/>
      <w:bCs/>
    </w:rPr>
  </w:style>
  <w:style w:type="character" w:customStyle="1" w:styleId="ListLabel1290">
    <w:name w:val="ListLabel 1290"/>
    <w:qFormat/>
    <w:rPr>
      <w:rFonts w:cs="Garamond"/>
      <w:b/>
      <w:bCs/>
    </w:rPr>
  </w:style>
  <w:style w:type="character" w:customStyle="1" w:styleId="ListLabel1291">
    <w:name w:val="ListLabel 1291"/>
    <w:qFormat/>
    <w:rPr>
      <w:rFonts w:cs="Garamond"/>
      <w:b/>
      <w:bCs/>
      <w:sz w:val="24"/>
    </w:rPr>
  </w:style>
  <w:style w:type="character" w:customStyle="1" w:styleId="ListLabel1292">
    <w:name w:val="ListLabel 1292"/>
    <w:qFormat/>
    <w:rPr>
      <w:rFonts w:cs="Garamond"/>
      <w:b/>
      <w:bCs/>
    </w:rPr>
  </w:style>
  <w:style w:type="character" w:customStyle="1" w:styleId="ListLabel1293">
    <w:name w:val="ListLabel 1293"/>
    <w:qFormat/>
    <w:rPr>
      <w:rFonts w:cs="Garamond"/>
      <w:b/>
      <w:bCs/>
    </w:rPr>
  </w:style>
  <w:style w:type="character" w:customStyle="1" w:styleId="ListLabel1294">
    <w:name w:val="ListLabel 1294"/>
    <w:qFormat/>
    <w:rPr>
      <w:rFonts w:cs="Garamond"/>
      <w:b/>
      <w:bCs/>
    </w:rPr>
  </w:style>
  <w:style w:type="character" w:customStyle="1" w:styleId="ListLabel1295">
    <w:name w:val="ListLabel 1295"/>
    <w:qFormat/>
    <w:rPr>
      <w:rFonts w:cs="Garamond"/>
      <w:b/>
      <w:bCs/>
    </w:rPr>
  </w:style>
  <w:style w:type="character" w:customStyle="1" w:styleId="ListLabel1296">
    <w:name w:val="ListLabel 1296"/>
    <w:qFormat/>
    <w:rPr>
      <w:rFonts w:cs="Garamond"/>
      <w:b/>
      <w:bCs/>
    </w:rPr>
  </w:style>
  <w:style w:type="character" w:customStyle="1" w:styleId="ListLabel1297">
    <w:name w:val="ListLabel 1297"/>
    <w:qFormat/>
    <w:rPr>
      <w:rFonts w:cs="Garamond"/>
      <w:b/>
      <w:bCs/>
    </w:rPr>
  </w:style>
  <w:style w:type="character" w:customStyle="1" w:styleId="ListLabel1298">
    <w:name w:val="ListLabel 1298"/>
    <w:qFormat/>
    <w:rPr>
      <w:rFonts w:cs="Garamond"/>
      <w:b/>
      <w:bCs/>
    </w:rPr>
  </w:style>
  <w:style w:type="character" w:customStyle="1" w:styleId="ListLabel1299">
    <w:name w:val="ListLabel 1299"/>
    <w:qFormat/>
    <w:rPr>
      <w:rFonts w:cs="Garamond"/>
      <w:b/>
      <w:bCs/>
    </w:rPr>
  </w:style>
  <w:style w:type="character" w:customStyle="1" w:styleId="ListLabel1300">
    <w:name w:val="ListLabel 1300"/>
    <w:qFormat/>
    <w:rPr>
      <w:rFonts w:ascii="Calibri" w:hAnsi="Calibri" w:cs="Garamond"/>
      <w:b/>
      <w:bCs/>
      <w:sz w:val="24"/>
    </w:rPr>
  </w:style>
  <w:style w:type="character" w:customStyle="1" w:styleId="ListLabel1301">
    <w:name w:val="ListLabel 1301"/>
    <w:qFormat/>
    <w:rPr>
      <w:rFonts w:cs="Garamond"/>
      <w:b/>
      <w:bCs/>
    </w:rPr>
  </w:style>
  <w:style w:type="character" w:customStyle="1" w:styleId="ListLabel1302">
    <w:name w:val="ListLabel 1302"/>
    <w:qFormat/>
    <w:rPr>
      <w:rFonts w:cs="Garamond"/>
      <w:b/>
      <w:bCs/>
    </w:rPr>
  </w:style>
  <w:style w:type="character" w:customStyle="1" w:styleId="ListLabel1303">
    <w:name w:val="ListLabel 1303"/>
    <w:qFormat/>
    <w:rPr>
      <w:rFonts w:cs="Garamond"/>
      <w:b/>
      <w:bCs/>
    </w:rPr>
  </w:style>
  <w:style w:type="character" w:customStyle="1" w:styleId="ListLabel1304">
    <w:name w:val="ListLabel 1304"/>
    <w:qFormat/>
    <w:rPr>
      <w:rFonts w:cs="Garamond"/>
      <w:b/>
      <w:bCs/>
    </w:rPr>
  </w:style>
  <w:style w:type="character" w:customStyle="1" w:styleId="ListLabel1305">
    <w:name w:val="ListLabel 1305"/>
    <w:qFormat/>
    <w:rPr>
      <w:rFonts w:cs="Garamond"/>
      <w:b/>
      <w:bCs/>
    </w:rPr>
  </w:style>
  <w:style w:type="character" w:customStyle="1" w:styleId="ListLabel1306">
    <w:name w:val="ListLabel 1306"/>
    <w:qFormat/>
    <w:rPr>
      <w:rFonts w:cs="Garamond"/>
      <w:b/>
      <w:bCs/>
    </w:rPr>
  </w:style>
  <w:style w:type="character" w:customStyle="1" w:styleId="ListLabel1307">
    <w:name w:val="ListLabel 1307"/>
    <w:qFormat/>
    <w:rPr>
      <w:rFonts w:cs="Garamond"/>
      <w:b/>
      <w:bCs/>
    </w:rPr>
  </w:style>
  <w:style w:type="character" w:customStyle="1" w:styleId="ListLabel1308">
    <w:name w:val="ListLabel 1308"/>
    <w:qFormat/>
    <w:rPr>
      <w:rFonts w:cs="Garamond"/>
      <w:b/>
      <w:bCs/>
    </w:rPr>
  </w:style>
  <w:style w:type="character" w:customStyle="1" w:styleId="ListLabel1309">
    <w:name w:val="ListLabel 1309"/>
    <w:qFormat/>
    <w:rPr>
      <w:rFonts w:ascii="Calibri" w:hAnsi="Calibri" w:cs="Garamond"/>
      <w:b/>
      <w:bCs/>
      <w:sz w:val="24"/>
    </w:rPr>
  </w:style>
  <w:style w:type="character" w:customStyle="1" w:styleId="ListLabel1310">
    <w:name w:val="ListLabel 1310"/>
    <w:qFormat/>
    <w:rPr>
      <w:rFonts w:cs="Garamond"/>
      <w:b/>
      <w:bCs/>
    </w:rPr>
  </w:style>
  <w:style w:type="character" w:customStyle="1" w:styleId="ListLabel1311">
    <w:name w:val="ListLabel 1311"/>
    <w:qFormat/>
    <w:rPr>
      <w:rFonts w:cs="Garamond"/>
      <w:b/>
      <w:bCs/>
    </w:rPr>
  </w:style>
  <w:style w:type="character" w:customStyle="1" w:styleId="ListLabel1312">
    <w:name w:val="ListLabel 1312"/>
    <w:qFormat/>
    <w:rPr>
      <w:rFonts w:cs="Garamond"/>
      <w:b/>
      <w:bCs/>
    </w:rPr>
  </w:style>
  <w:style w:type="character" w:customStyle="1" w:styleId="ListLabel1313">
    <w:name w:val="ListLabel 1313"/>
    <w:qFormat/>
    <w:rPr>
      <w:rFonts w:cs="Garamond"/>
      <w:b/>
      <w:bCs/>
    </w:rPr>
  </w:style>
  <w:style w:type="character" w:customStyle="1" w:styleId="ListLabel1314">
    <w:name w:val="ListLabel 1314"/>
    <w:qFormat/>
    <w:rPr>
      <w:rFonts w:cs="Garamond"/>
      <w:b/>
      <w:bCs/>
    </w:rPr>
  </w:style>
  <w:style w:type="character" w:customStyle="1" w:styleId="ListLabel1315">
    <w:name w:val="ListLabel 1315"/>
    <w:qFormat/>
    <w:rPr>
      <w:rFonts w:cs="Garamond"/>
      <w:b/>
      <w:bCs/>
    </w:rPr>
  </w:style>
  <w:style w:type="character" w:customStyle="1" w:styleId="ListLabel1316">
    <w:name w:val="ListLabel 1316"/>
    <w:qFormat/>
    <w:rPr>
      <w:rFonts w:cs="Garamond"/>
      <w:b/>
      <w:bCs/>
    </w:rPr>
  </w:style>
  <w:style w:type="character" w:customStyle="1" w:styleId="ListLabel1317">
    <w:name w:val="ListLabel 1317"/>
    <w:qFormat/>
    <w:rPr>
      <w:rFonts w:cs="Garamond"/>
      <w:b/>
      <w:bCs/>
    </w:rPr>
  </w:style>
  <w:style w:type="character" w:customStyle="1" w:styleId="ListLabel1318">
    <w:name w:val="ListLabel 1318"/>
    <w:qFormat/>
    <w:rPr>
      <w:rFonts w:ascii="Calibri" w:hAnsi="Calibri" w:cs="Garamond"/>
      <w:b/>
      <w:bCs/>
      <w:sz w:val="24"/>
    </w:rPr>
  </w:style>
  <w:style w:type="character" w:customStyle="1" w:styleId="ListLabel1319">
    <w:name w:val="ListLabel 1319"/>
    <w:qFormat/>
    <w:rPr>
      <w:rFonts w:cs="Garamond"/>
      <w:b/>
      <w:bCs/>
    </w:rPr>
  </w:style>
  <w:style w:type="character" w:customStyle="1" w:styleId="ListLabel1320">
    <w:name w:val="ListLabel 1320"/>
    <w:qFormat/>
    <w:rPr>
      <w:rFonts w:cs="Garamond"/>
      <w:b/>
      <w:bCs/>
    </w:rPr>
  </w:style>
  <w:style w:type="character" w:customStyle="1" w:styleId="ListLabel1321">
    <w:name w:val="ListLabel 1321"/>
    <w:qFormat/>
    <w:rPr>
      <w:rFonts w:cs="Garamond"/>
      <w:b/>
      <w:bCs/>
    </w:rPr>
  </w:style>
  <w:style w:type="character" w:customStyle="1" w:styleId="ListLabel1322">
    <w:name w:val="ListLabel 1322"/>
    <w:qFormat/>
    <w:rPr>
      <w:rFonts w:cs="Garamond"/>
      <w:b/>
      <w:bCs/>
    </w:rPr>
  </w:style>
  <w:style w:type="character" w:customStyle="1" w:styleId="ListLabel1323">
    <w:name w:val="ListLabel 1323"/>
    <w:qFormat/>
    <w:rPr>
      <w:rFonts w:cs="Garamond"/>
      <w:b/>
      <w:bCs/>
    </w:rPr>
  </w:style>
  <w:style w:type="character" w:customStyle="1" w:styleId="ListLabel1324">
    <w:name w:val="ListLabel 1324"/>
    <w:qFormat/>
    <w:rPr>
      <w:rFonts w:cs="Garamond"/>
      <w:b/>
      <w:bCs/>
    </w:rPr>
  </w:style>
  <w:style w:type="character" w:customStyle="1" w:styleId="ListLabel1325">
    <w:name w:val="ListLabel 1325"/>
    <w:qFormat/>
    <w:rPr>
      <w:rFonts w:cs="Garamond"/>
      <w:b/>
      <w:bCs/>
    </w:rPr>
  </w:style>
  <w:style w:type="character" w:customStyle="1" w:styleId="ListLabel1326">
    <w:name w:val="ListLabel 1326"/>
    <w:qFormat/>
    <w:rPr>
      <w:rFonts w:cs="Garamond"/>
      <w:b/>
      <w:bCs/>
    </w:rPr>
  </w:style>
  <w:style w:type="character" w:customStyle="1" w:styleId="ListLabel1327">
    <w:name w:val="ListLabel 1327"/>
    <w:qFormat/>
    <w:rPr>
      <w:rFonts w:ascii="Calibri" w:hAnsi="Calibri" w:cs="Garamond"/>
      <w:b/>
      <w:bCs/>
      <w:sz w:val="24"/>
    </w:rPr>
  </w:style>
  <w:style w:type="character" w:customStyle="1" w:styleId="ListLabel1328">
    <w:name w:val="ListLabel 1328"/>
    <w:qFormat/>
    <w:rPr>
      <w:rFonts w:cs="Garamond"/>
      <w:b/>
      <w:bCs/>
    </w:rPr>
  </w:style>
  <w:style w:type="character" w:customStyle="1" w:styleId="ListLabel1329">
    <w:name w:val="ListLabel 1329"/>
    <w:qFormat/>
    <w:rPr>
      <w:rFonts w:cs="Garamond"/>
      <w:b/>
      <w:bCs/>
    </w:rPr>
  </w:style>
  <w:style w:type="character" w:customStyle="1" w:styleId="ListLabel1330">
    <w:name w:val="ListLabel 1330"/>
    <w:qFormat/>
    <w:rPr>
      <w:rFonts w:cs="Garamond"/>
      <w:b/>
      <w:bCs/>
    </w:rPr>
  </w:style>
  <w:style w:type="character" w:customStyle="1" w:styleId="ListLabel1331">
    <w:name w:val="ListLabel 1331"/>
    <w:qFormat/>
    <w:rPr>
      <w:rFonts w:cs="Garamond"/>
      <w:b/>
      <w:bCs/>
    </w:rPr>
  </w:style>
  <w:style w:type="character" w:customStyle="1" w:styleId="ListLabel1332">
    <w:name w:val="ListLabel 1332"/>
    <w:qFormat/>
    <w:rPr>
      <w:rFonts w:cs="Garamond"/>
      <w:b/>
      <w:bCs/>
    </w:rPr>
  </w:style>
  <w:style w:type="character" w:customStyle="1" w:styleId="ListLabel1333">
    <w:name w:val="ListLabel 1333"/>
    <w:qFormat/>
    <w:rPr>
      <w:rFonts w:cs="Garamond"/>
      <w:b/>
      <w:bCs/>
    </w:rPr>
  </w:style>
  <w:style w:type="character" w:customStyle="1" w:styleId="ListLabel1334">
    <w:name w:val="ListLabel 1334"/>
    <w:qFormat/>
    <w:rPr>
      <w:rFonts w:cs="Garamond"/>
      <w:b/>
      <w:bCs/>
    </w:rPr>
  </w:style>
  <w:style w:type="character" w:customStyle="1" w:styleId="ListLabel1335">
    <w:name w:val="ListLabel 1335"/>
    <w:qFormat/>
    <w:rPr>
      <w:rFonts w:cs="Garamond"/>
      <w:b/>
      <w:bCs/>
    </w:rPr>
  </w:style>
  <w:style w:type="character" w:customStyle="1" w:styleId="ListLabel1336">
    <w:name w:val="ListLabel 1336"/>
    <w:qFormat/>
    <w:rPr>
      <w:rFonts w:ascii="Calibri" w:hAnsi="Calibri" w:cs="Garamond"/>
      <w:b/>
      <w:bCs/>
      <w:sz w:val="24"/>
    </w:rPr>
  </w:style>
  <w:style w:type="character" w:customStyle="1" w:styleId="ListLabel1337">
    <w:name w:val="ListLabel 1337"/>
    <w:qFormat/>
    <w:rPr>
      <w:rFonts w:cs="Garamond"/>
      <w:b/>
      <w:bCs/>
    </w:rPr>
  </w:style>
  <w:style w:type="character" w:customStyle="1" w:styleId="ListLabel1338">
    <w:name w:val="ListLabel 1338"/>
    <w:qFormat/>
    <w:rPr>
      <w:rFonts w:cs="Garamond"/>
      <w:b/>
      <w:bCs/>
    </w:rPr>
  </w:style>
  <w:style w:type="character" w:customStyle="1" w:styleId="ListLabel1339">
    <w:name w:val="ListLabel 1339"/>
    <w:qFormat/>
    <w:rPr>
      <w:rFonts w:cs="Garamond"/>
      <w:b/>
      <w:bCs/>
    </w:rPr>
  </w:style>
  <w:style w:type="character" w:customStyle="1" w:styleId="ListLabel1340">
    <w:name w:val="ListLabel 1340"/>
    <w:qFormat/>
    <w:rPr>
      <w:rFonts w:cs="Garamond"/>
      <w:b/>
      <w:bCs/>
    </w:rPr>
  </w:style>
  <w:style w:type="character" w:customStyle="1" w:styleId="ListLabel1341">
    <w:name w:val="ListLabel 1341"/>
    <w:qFormat/>
    <w:rPr>
      <w:rFonts w:cs="Garamond"/>
      <w:b/>
      <w:bCs/>
    </w:rPr>
  </w:style>
  <w:style w:type="character" w:customStyle="1" w:styleId="ListLabel1342">
    <w:name w:val="ListLabel 1342"/>
    <w:qFormat/>
    <w:rPr>
      <w:rFonts w:cs="Garamond"/>
      <w:b/>
      <w:bCs/>
    </w:rPr>
  </w:style>
  <w:style w:type="character" w:customStyle="1" w:styleId="ListLabel1343">
    <w:name w:val="ListLabel 1343"/>
    <w:qFormat/>
    <w:rPr>
      <w:rFonts w:cs="Garamond"/>
      <w:b/>
      <w:bCs/>
    </w:rPr>
  </w:style>
  <w:style w:type="character" w:customStyle="1" w:styleId="ListLabel1344">
    <w:name w:val="ListLabel 1344"/>
    <w:qFormat/>
    <w:rPr>
      <w:rFonts w:cs="Garamond"/>
      <w:b/>
      <w:bCs/>
    </w:rPr>
  </w:style>
  <w:style w:type="character" w:customStyle="1" w:styleId="ListLabel1345">
    <w:name w:val="ListLabel 1345"/>
    <w:qFormat/>
    <w:rPr>
      <w:rFonts w:ascii="Calibri" w:hAnsi="Calibri" w:cs="Garamond"/>
      <w:b/>
      <w:bCs/>
      <w:sz w:val="24"/>
    </w:rPr>
  </w:style>
  <w:style w:type="character" w:customStyle="1" w:styleId="ListLabel1346">
    <w:name w:val="ListLabel 1346"/>
    <w:qFormat/>
    <w:rPr>
      <w:rFonts w:ascii="Calibri" w:hAnsi="Calibri" w:cs="Garamond"/>
      <w:b/>
      <w:bCs/>
      <w:sz w:val="24"/>
    </w:rPr>
  </w:style>
  <w:style w:type="character" w:customStyle="1" w:styleId="ListLabel1347">
    <w:name w:val="ListLabel 1347"/>
    <w:qFormat/>
    <w:rPr>
      <w:rFonts w:cs="Garamond"/>
      <w:b/>
      <w:bCs/>
    </w:rPr>
  </w:style>
  <w:style w:type="character" w:customStyle="1" w:styleId="ListLabel1348">
    <w:name w:val="ListLabel 1348"/>
    <w:qFormat/>
    <w:rPr>
      <w:rFonts w:cs="Garamond"/>
      <w:b/>
      <w:bCs/>
    </w:rPr>
  </w:style>
  <w:style w:type="character" w:customStyle="1" w:styleId="ListLabel1349">
    <w:name w:val="ListLabel 1349"/>
    <w:qFormat/>
    <w:rPr>
      <w:rFonts w:cs="Garamond"/>
      <w:b/>
      <w:bCs/>
    </w:rPr>
  </w:style>
  <w:style w:type="character" w:customStyle="1" w:styleId="ListLabel1350">
    <w:name w:val="ListLabel 1350"/>
    <w:qFormat/>
    <w:rPr>
      <w:rFonts w:cs="Garamond"/>
      <w:b/>
      <w:bCs/>
    </w:rPr>
  </w:style>
  <w:style w:type="character" w:customStyle="1" w:styleId="ListLabel1351">
    <w:name w:val="ListLabel 1351"/>
    <w:qFormat/>
    <w:rPr>
      <w:rFonts w:cs="Garamond"/>
      <w:b/>
      <w:bCs/>
    </w:rPr>
  </w:style>
  <w:style w:type="character" w:customStyle="1" w:styleId="ListLabel1352">
    <w:name w:val="ListLabel 1352"/>
    <w:qFormat/>
    <w:rPr>
      <w:rFonts w:cs="Garamond"/>
      <w:b/>
      <w:bCs/>
    </w:rPr>
  </w:style>
  <w:style w:type="character" w:customStyle="1" w:styleId="ListLabel1353">
    <w:name w:val="ListLabel 1353"/>
    <w:qFormat/>
    <w:rPr>
      <w:rFonts w:cs="Garamond"/>
      <w:b/>
      <w:bCs/>
    </w:rPr>
  </w:style>
  <w:style w:type="character" w:customStyle="1" w:styleId="ListLabel1354">
    <w:name w:val="ListLabel 1354"/>
    <w:qFormat/>
    <w:rPr>
      <w:rFonts w:ascii="Calibri" w:hAnsi="Calibri" w:cs="Garamond"/>
      <w:b/>
      <w:bCs/>
      <w:sz w:val="24"/>
    </w:rPr>
  </w:style>
  <w:style w:type="character" w:customStyle="1" w:styleId="ListLabel1355">
    <w:name w:val="ListLabel 1355"/>
    <w:qFormat/>
    <w:rPr>
      <w:rFonts w:cs="Garamond"/>
      <w:b/>
      <w:bCs/>
    </w:rPr>
  </w:style>
  <w:style w:type="character" w:customStyle="1" w:styleId="ListLabel1356">
    <w:name w:val="ListLabel 1356"/>
    <w:qFormat/>
    <w:rPr>
      <w:rFonts w:cs="Garamond"/>
      <w:b/>
      <w:bCs/>
    </w:rPr>
  </w:style>
  <w:style w:type="character" w:customStyle="1" w:styleId="ListLabel1357">
    <w:name w:val="ListLabel 1357"/>
    <w:qFormat/>
    <w:rPr>
      <w:rFonts w:cs="Garamond"/>
      <w:b/>
      <w:bCs/>
    </w:rPr>
  </w:style>
  <w:style w:type="character" w:customStyle="1" w:styleId="ListLabel1358">
    <w:name w:val="ListLabel 1358"/>
    <w:qFormat/>
    <w:rPr>
      <w:rFonts w:cs="Garamond"/>
      <w:b/>
      <w:bCs/>
    </w:rPr>
  </w:style>
  <w:style w:type="character" w:customStyle="1" w:styleId="ListLabel1359">
    <w:name w:val="ListLabel 1359"/>
    <w:qFormat/>
    <w:rPr>
      <w:rFonts w:cs="Garamond"/>
      <w:b/>
      <w:bCs/>
    </w:rPr>
  </w:style>
  <w:style w:type="character" w:customStyle="1" w:styleId="ListLabel1360">
    <w:name w:val="ListLabel 1360"/>
    <w:qFormat/>
    <w:rPr>
      <w:rFonts w:cs="Garamond"/>
      <w:b/>
      <w:bCs/>
    </w:rPr>
  </w:style>
  <w:style w:type="character" w:customStyle="1" w:styleId="ListLabel1361">
    <w:name w:val="ListLabel 1361"/>
    <w:qFormat/>
    <w:rPr>
      <w:rFonts w:cs="Garamond"/>
      <w:b/>
      <w:bCs/>
    </w:rPr>
  </w:style>
  <w:style w:type="character" w:customStyle="1" w:styleId="ListLabel1362">
    <w:name w:val="ListLabel 1362"/>
    <w:qFormat/>
    <w:rPr>
      <w:rFonts w:cs="Garamond"/>
      <w:b/>
      <w:bCs/>
    </w:rPr>
  </w:style>
  <w:style w:type="character" w:customStyle="1" w:styleId="ListLabel1363">
    <w:name w:val="ListLabel 1363"/>
    <w:qFormat/>
    <w:rPr>
      <w:rFonts w:ascii="Calibri" w:hAnsi="Calibri" w:cs="Garamond"/>
      <w:b/>
      <w:bCs/>
      <w:sz w:val="24"/>
    </w:rPr>
  </w:style>
  <w:style w:type="character" w:customStyle="1" w:styleId="ListLabel1364">
    <w:name w:val="ListLabel 1364"/>
    <w:qFormat/>
    <w:rPr>
      <w:rFonts w:ascii="Calibri" w:hAnsi="Calibri" w:cs="Garamond"/>
      <w:b/>
      <w:bCs/>
      <w:sz w:val="24"/>
    </w:rPr>
  </w:style>
  <w:style w:type="character" w:customStyle="1" w:styleId="ListLabel1365">
    <w:name w:val="ListLabel 1365"/>
    <w:qFormat/>
    <w:rPr>
      <w:rFonts w:cs="Garamond"/>
      <w:b/>
      <w:bCs/>
    </w:rPr>
  </w:style>
  <w:style w:type="character" w:customStyle="1" w:styleId="ListLabel1366">
    <w:name w:val="ListLabel 1366"/>
    <w:qFormat/>
    <w:rPr>
      <w:rFonts w:cs="Garamond"/>
      <w:b/>
      <w:bCs/>
    </w:rPr>
  </w:style>
  <w:style w:type="character" w:customStyle="1" w:styleId="ListLabel1367">
    <w:name w:val="ListLabel 1367"/>
    <w:qFormat/>
    <w:rPr>
      <w:rFonts w:cs="Garamond"/>
      <w:b/>
      <w:bCs/>
    </w:rPr>
  </w:style>
  <w:style w:type="character" w:customStyle="1" w:styleId="ListLabel1368">
    <w:name w:val="ListLabel 1368"/>
    <w:qFormat/>
    <w:rPr>
      <w:rFonts w:cs="Garamond"/>
      <w:b/>
      <w:bCs/>
    </w:rPr>
  </w:style>
  <w:style w:type="character" w:customStyle="1" w:styleId="ListLabel1369">
    <w:name w:val="ListLabel 1369"/>
    <w:qFormat/>
    <w:rPr>
      <w:rFonts w:cs="Garamond"/>
      <w:b/>
      <w:bCs/>
    </w:rPr>
  </w:style>
  <w:style w:type="character" w:customStyle="1" w:styleId="ListLabel1370">
    <w:name w:val="ListLabel 1370"/>
    <w:qFormat/>
    <w:rPr>
      <w:rFonts w:cs="Garamond"/>
      <w:b/>
      <w:bCs/>
    </w:rPr>
  </w:style>
  <w:style w:type="character" w:customStyle="1" w:styleId="ListLabel1371">
    <w:name w:val="ListLabel 1371"/>
    <w:qFormat/>
    <w:rPr>
      <w:rFonts w:cs="Garamond"/>
      <w:b/>
      <w:bCs/>
    </w:rPr>
  </w:style>
  <w:style w:type="character" w:customStyle="1" w:styleId="ListLabel1372">
    <w:name w:val="ListLabel 1372"/>
    <w:qFormat/>
    <w:rPr>
      <w:rFonts w:ascii="Calibri" w:hAnsi="Calibri" w:cs="Garamond"/>
      <w:b/>
      <w:bCs/>
      <w:sz w:val="24"/>
    </w:rPr>
  </w:style>
  <w:style w:type="character" w:customStyle="1" w:styleId="ListLabel1373">
    <w:name w:val="ListLabel 1373"/>
    <w:qFormat/>
    <w:rPr>
      <w:rFonts w:cs="Garamond"/>
      <w:b/>
      <w:bCs/>
    </w:rPr>
  </w:style>
  <w:style w:type="character" w:customStyle="1" w:styleId="ListLabel1374">
    <w:name w:val="ListLabel 1374"/>
    <w:qFormat/>
    <w:rPr>
      <w:rFonts w:cs="Garamond"/>
      <w:b/>
      <w:bCs/>
    </w:rPr>
  </w:style>
  <w:style w:type="character" w:customStyle="1" w:styleId="ListLabel1375">
    <w:name w:val="ListLabel 1375"/>
    <w:qFormat/>
    <w:rPr>
      <w:rFonts w:cs="Garamond"/>
      <w:b/>
      <w:bCs/>
    </w:rPr>
  </w:style>
  <w:style w:type="character" w:customStyle="1" w:styleId="ListLabel1376">
    <w:name w:val="ListLabel 1376"/>
    <w:qFormat/>
    <w:rPr>
      <w:rFonts w:cs="Garamond"/>
      <w:b/>
      <w:bCs/>
    </w:rPr>
  </w:style>
  <w:style w:type="character" w:customStyle="1" w:styleId="ListLabel1377">
    <w:name w:val="ListLabel 1377"/>
    <w:qFormat/>
    <w:rPr>
      <w:rFonts w:cs="Garamond"/>
      <w:b/>
      <w:bCs/>
    </w:rPr>
  </w:style>
  <w:style w:type="character" w:customStyle="1" w:styleId="ListLabel1378">
    <w:name w:val="ListLabel 1378"/>
    <w:qFormat/>
    <w:rPr>
      <w:rFonts w:cs="Garamond"/>
      <w:b/>
      <w:bCs/>
    </w:rPr>
  </w:style>
  <w:style w:type="character" w:customStyle="1" w:styleId="ListLabel1379">
    <w:name w:val="ListLabel 1379"/>
    <w:qFormat/>
    <w:rPr>
      <w:rFonts w:cs="Garamond"/>
      <w:b/>
      <w:bCs/>
    </w:rPr>
  </w:style>
  <w:style w:type="character" w:customStyle="1" w:styleId="ListLabel1380">
    <w:name w:val="ListLabel 1380"/>
    <w:qFormat/>
    <w:rPr>
      <w:rFonts w:cs="Garamond"/>
      <w:b/>
      <w:bCs/>
    </w:rPr>
  </w:style>
  <w:style w:type="character" w:customStyle="1" w:styleId="ListLabel1381">
    <w:name w:val="ListLabel 1381"/>
    <w:qFormat/>
    <w:rPr>
      <w:rFonts w:ascii="Calibri" w:hAnsi="Calibri" w:cs="Garamond"/>
      <w:b/>
      <w:bCs/>
      <w:sz w:val="24"/>
    </w:rPr>
  </w:style>
  <w:style w:type="character" w:customStyle="1" w:styleId="ListLabel1382">
    <w:name w:val="ListLabel 1382"/>
    <w:qFormat/>
    <w:rPr>
      <w:rFonts w:cs="Garamond"/>
      <w:b/>
      <w:bCs/>
    </w:rPr>
  </w:style>
  <w:style w:type="character" w:customStyle="1" w:styleId="ListLabel1383">
    <w:name w:val="ListLabel 1383"/>
    <w:qFormat/>
    <w:rPr>
      <w:rFonts w:cs="Garamond"/>
      <w:b/>
      <w:bCs/>
    </w:rPr>
  </w:style>
  <w:style w:type="character" w:customStyle="1" w:styleId="ListLabel1384">
    <w:name w:val="ListLabel 1384"/>
    <w:qFormat/>
    <w:rPr>
      <w:rFonts w:cs="Garamond"/>
      <w:b/>
      <w:bCs/>
    </w:rPr>
  </w:style>
  <w:style w:type="character" w:customStyle="1" w:styleId="ListLabel1385">
    <w:name w:val="ListLabel 1385"/>
    <w:qFormat/>
    <w:rPr>
      <w:rFonts w:cs="Garamond"/>
      <w:b/>
      <w:bCs/>
    </w:rPr>
  </w:style>
  <w:style w:type="character" w:customStyle="1" w:styleId="ListLabel1386">
    <w:name w:val="ListLabel 1386"/>
    <w:qFormat/>
    <w:rPr>
      <w:rFonts w:cs="Garamond"/>
      <w:b/>
      <w:bCs/>
    </w:rPr>
  </w:style>
  <w:style w:type="character" w:customStyle="1" w:styleId="ListLabel1387">
    <w:name w:val="ListLabel 1387"/>
    <w:qFormat/>
    <w:rPr>
      <w:rFonts w:cs="Garamond"/>
      <w:b/>
      <w:bCs/>
    </w:rPr>
  </w:style>
  <w:style w:type="character" w:customStyle="1" w:styleId="ListLabel1388">
    <w:name w:val="ListLabel 1388"/>
    <w:qFormat/>
    <w:rPr>
      <w:rFonts w:cs="Garamond"/>
      <w:b/>
      <w:bCs/>
    </w:rPr>
  </w:style>
  <w:style w:type="character" w:customStyle="1" w:styleId="ListLabel1389">
    <w:name w:val="ListLabel 1389"/>
    <w:qFormat/>
    <w:rPr>
      <w:rFonts w:cs="Garamond"/>
      <w:b/>
      <w:bCs/>
    </w:rPr>
  </w:style>
  <w:style w:type="character" w:customStyle="1" w:styleId="ListLabel1390">
    <w:name w:val="ListLabel 1390"/>
    <w:qFormat/>
    <w:rPr>
      <w:rFonts w:ascii="Calibri" w:hAnsi="Calibri" w:cs="Garamond"/>
      <w:b/>
      <w:bCs/>
      <w:sz w:val="24"/>
    </w:rPr>
  </w:style>
  <w:style w:type="character" w:customStyle="1" w:styleId="ListLabel1391">
    <w:name w:val="ListLabel 1391"/>
    <w:qFormat/>
    <w:rPr>
      <w:rFonts w:cs="Garamond"/>
      <w:b/>
      <w:bCs/>
    </w:rPr>
  </w:style>
  <w:style w:type="character" w:customStyle="1" w:styleId="ListLabel1392">
    <w:name w:val="ListLabel 1392"/>
    <w:qFormat/>
    <w:rPr>
      <w:rFonts w:cs="Garamond"/>
      <w:b/>
      <w:bCs/>
    </w:rPr>
  </w:style>
  <w:style w:type="character" w:customStyle="1" w:styleId="ListLabel1393">
    <w:name w:val="ListLabel 1393"/>
    <w:qFormat/>
    <w:rPr>
      <w:rFonts w:cs="Garamond"/>
      <w:b/>
      <w:bCs/>
    </w:rPr>
  </w:style>
  <w:style w:type="character" w:customStyle="1" w:styleId="ListLabel1394">
    <w:name w:val="ListLabel 1394"/>
    <w:qFormat/>
    <w:rPr>
      <w:rFonts w:cs="Garamond"/>
      <w:b/>
      <w:bCs/>
    </w:rPr>
  </w:style>
  <w:style w:type="character" w:customStyle="1" w:styleId="ListLabel1395">
    <w:name w:val="ListLabel 1395"/>
    <w:qFormat/>
    <w:rPr>
      <w:rFonts w:cs="Garamond"/>
      <w:b/>
      <w:bCs/>
    </w:rPr>
  </w:style>
  <w:style w:type="character" w:customStyle="1" w:styleId="ListLabel1396">
    <w:name w:val="ListLabel 1396"/>
    <w:qFormat/>
    <w:rPr>
      <w:rFonts w:cs="Garamond"/>
      <w:b/>
      <w:bCs/>
    </w:rPr>
  </w:style>
  <w:style w:type="character" w:customStyle="1" w:styleId="ListLabel1397">
    <w:name w:val="ListLabel 1397"/>
    <w:qFormat/>
    <w:rPr>
      <w:rFonts w:cs="Garamond"/>
      <w:b/>
      <w:bCs/>
    </w:rPr>
  </w:style>
  <w:style w:type="character" w:customStyle="1" w:styleId="ListLabel1398">
    <w:name w:val="ListLabel 1398"/>
    <w:qFormat/>
    <w:rPr>
      <w:rFonts w:cs="Garamond"/>
      <w:b/>
      <w:bCs/>
    </w:rPr>
  </w:style>
  <w:style w:type="character" w:customStyle="1" w:styleId="ListLabel1399">
    <w:name w:val="ListLabel 1399"/>
    <w:qFormat/>
    <w:rPr>
      <w:rFonts w:cs="Garamond"/>
      <w:b/>
      <w:bCs/>
      <w:sz w:val="24"/>
    </w:rPr>
  </w:style>
  <w:style w:type="character" w:customStyle="1" w:styleId="ListLabel1400">
    <w:name w:val="ListLabel 1400"/>
    <w:qFormat/>
    <w:rPr>
      <w:rFonts w:cs="Garamond"/>
      <w:b/>
      <w:bCs/>
    </w:rPr>
  </w:style>
  <w:style w:type="character" w:customStyle="1" w:styleId="ListLabel1401">
    <w:name w:val="ListLabel 1401"/>
    <w:qFormat/>
    <w:rPr>
      <w:rFonts w:cs="Garamond"/>
      <w:b/>
      <w:bCs/>
    </w:rPr>
  </w:style>
  <w:style w:type="character" w:customStyle="1" w:styleId="ListLabel1402">
    <w:name w:val="ListLabel 1402"/>
    <w:qFormat/>
    <w:rPr>
      <w:rFonts w:cs="Garamond"/>
      <w:b/>
      <w:bCs/>
    </w:rPr>
  </w:style>
  <w:style w:type="character" w:customStyle="1" w:styleId="ListLabel1403">
    <w:name w:val="ListLabel 1403"/>
    <w:qFormat/>
    <w:rPr>
      <w:rFonts w:cs="Garamond"/>
      <w:b/>
      <w:bCs/>
    </w:rPr>
  </w:style>
  <w:style w:type="character" w:customStyle="1" w:styleId="ListLabel1404">
    <w:name w:val="ListLabel 1404"/>
    <w:qFormat/>
    <w:rPr>
      <w:rFonts w:cs="Garamond"/>
      <w:b/>
      <w:bCs/>
    </w:rPr>
  </w:style>
  <w:style w:type="character" w:customStyle="1" w:styleId="ListLabel1405">
    <w:name w:val="ListLabel 1405"/>
    <w:qFormat/>
    <w:rPr>
      <w:rFonts w:cs="Garamond"/>
      <w:b/>
      <w:bCs/>
    </w:rPr>
  </w:style>
  <w:style w:type="character" w:customStyle="1" w:styleId="ListLabel1406">
    <w:name w:val="ListLabel 1406"/>
    <w:qFormat/>
    <w:rPr>
      <w:rFonts w:cs="Garamond"/>
      <w:b/>
      <w:bCs/>
    </w:rPr>
  </w:style>
  <w:style w:type="character" w:customStyle="1" w:styleId="ListLabel1407">
    <w:name w:val="ListLabel 1407"/>
    <w:qFormat/>
    <w:rPr>
      <w:rFonts w:cs="Garamond"/>
      <w:b/>
      <w:bCs/>
    </w:rPr>
  </w:style>
  <w:style w:type="character" w:customStyle="1" w:styleId="ListLabel1408">
    <w:name w:val="ListLabel 1408"/>
    <w:qFormat/>
    <w:rPr>
      <w:rFonts w:ascii="Calibri" w:hAnsi="Calibri" w:cs="Garamond"/>
      <w:b/>
      <w:bCs/>
      <w:sz w:val="24"/>
    </w:rPr>
  </w:style>
  <w:style w:type="character" w:customStyle="1" w:styleId="ListLabel1409">
    <w:name w:val="ListLabel 1409"/>
    <w:qFormat/>
    <w:rPr>
      <w:rFonts w:cs="Garamond"/>
      <w:b/>
      <w:bCs/>
    </w:rPr>
  </w:style>
  <w:style w:type="character" w:customStyle="1" w:styleId="ListLabel1410">
    <w:name w:val="ListLabel 1410"/>
    <w:qFormat/>
    <w:rPr>
      <w:rFonts w:cs="Garamond"/>
      <w:b/>
      <w:bCs/>
    </w:rPr>
  </w:style>
  <w:style w:type="character" w:customStyle="1" w:styleId="ListLabel1411">
    <w:name w:val="ListLabel 1411"/>
    <w:qFormat/>
    <w:rPr>
      <w:rFonts w:cs="Garamond"/>
      <w:b/>
      <w:bCs/>
    </w:rPr>
  </w:style>
  <w:style w:type="character" w:customStyle="1" w:styleId="ListLabel1412">
    <w:name w:val="ListLabel 1412"/>
    <w:qFormat/>
    <w:rPr>
      <w:rFonts w:cs="Garamond"/>
      <w:b/>
      <w:bCs/>
    </w:rPr>
  </w:style>
  <w:style w:type="character" w:customStyle="1" w:styleId="ListLabel1413">
    <w:name w:val="ListLabel 1413"/>
    <w:qFormat/>
    <w:rPr>
      <w:rFonts w:cs="Garamond"/>
      <w:b/>
      <w:bCs/>
    </w:rPr>
  </w:style>
  <w:style w:type="character" w:customStyle="1" w:styleId="ListLabel1414">
    <w:name w:val="ListLabel 1414"/>
    <w:qFormat/>
    <w:rPr>
      <w:rFonts w:cs="Garamond"/>
      <w:b/>
      <w:bCs/>
    </w:rPr>
  </w:style>
  <w:style w:type="character" w:customStyle="1" w:styleId="ListLabel1415">
    <w:name w:val="ListLabel 1415"/>
    <w:qFormat/>
    <w:rPr>
      <w:rFonts w:cs="Garamond"/>
      <w:b/>
      <w:bCs/>
    </w:rPr>
  </w:style>
  <w:style w:type="character" w:customStyle="1" w:styleId="ListLabel1416">
    <w:name w:val="ListLabel 1416"/>
    <w:qFormat/>
    <w:rPr>
      <w:rFonts w:cs="Garamond"/>
      <w:b/>
      <w:bCs/>
    </w:rPr>
  </w:style>
  <w:style w:type="character" w:customStyle="1" w:styleId="ListLabel1417">
    <w:name w:val="ListLabel 1417"/>
    <w:qFormat/>
    <w:rPr>
      <w:rFonts w:ascii="Calibri" w:hAnsi="Calibri" w:cs="Garamond"/>
      <w:b/>
      <w:bCs/>
      <w:sz w:val="24"/>
    </w:rPr>
  </w:style>
  <w:style w:type="character" w:customStyle="1" w:styleId="ListLabel1418">
    <w:name w:val="ListLabel 1418"/>
    <w:qFormat/>
    <w:rPr>
      <w:rFonts w:cs="Garamond"/>
      <w:b/>
      <w:bCs/>
    </w:rPr>
  </w:style>
  <w:style w:type="character" w:customStyle="1" w:styleId="ListLabel1419">
    <w:name w:val="ListLabel 1419"/>
    <w:qFormat/>
    <w:rPr>
      <w:rFonts w:cs="Garamond"/>
      <w:b/>
      <w:bCs/>
    </w:rPr>
  </w:style>
  <w:style w:type="character" w:customStyle="1" w:styleId="ListLabel1420">
    <w:name w:val="ListLabel 1420"/>
    <w:qFormat/>
    <w:rPr>
      <w:rFonts w:cs="Garamond"/>
      <w:b/>
      <w:bCs/>
    </w:rPr>
  </w:style>
  <w:style w:type="character" w:customStyle="1" w:styleId="ListLabel1421">
    <w:name w:val="ListLabel 1421"/>
    <w:qFormat/>
    <w:rPr>
      <w:rFonts w:cs="Garamond"/>
      <w:b/>
      <w:bCs/>
    </w:rPr>
  </w:style>
  <w:style w:type="character" w:customStyle="1" w:styleId="ListLabel1422">
    <w:name w:val="ListLabel 1422"/>
    <w:qFormat/>
    <w:rPr>
      <w:rFonts w:cs="Garamond"/>
      <w:b/>
      <w:bCs/>
    </w:rPr>
  </w:style>
  <w:style w:type="character" w:customStyle="1" w:styleId="ListLabel1423">
    <w:name w:val="ListLabel 1423"/>
    <w:qFormat/>
    <w:rPr>
      <w:rFonts w:cs="Garamond"/>
      <w:b/>
      <w:bCs/>
    </w:rPr>
  </w:style>
  <w:style w:type="character" w:customStyle="1" w:styleId="ListLabel1424">
    <w:name w:val="ListLabel 1424"/>
    <w:qFormat/>
    <w:rPr>
      <w:rFonts w:cs="Garamond"/>
      <w:b/>
      <w:bCs/>
    </w:rPr>
  </w:style>
  <w:style w:type="character" w:customStyle="1" w:styleId="ListLabel1425">
    <w:name w:val="ListLabel 1425"/>
    <w:qFormat/>
    <w:rPr>
      <w:rFonts w:cs="Garamond"/>
      <w:b/>
      <w:bCs/>
    </w:rPr>
  </w:style>
  <w:style w:type="character" w:customStyle="1" w:styleId="ListLabel1426">
    <w:name w:val="ListLabel 1426"/>
    <w:qFormat/>
    <w:rPr>
      <w:rFonts w:ascii="Calibri" w:hAnsi="Calibri" w:cs="Garamond"/>
      <w:b/>
      <w:bCs/>
      <w:sz w:val="24"/>
    </w:rPr>
  </w:style>
  <w:style w:type="character" w:customStyle="1" w:styleId="ListLabel1427">
    <w:name w:val="ListLabel 1427"/>
    <w:qFormat/>
    <w:rPr>
      <w:rFonts w:cs="Garamond"/>
      <w:b/>
      <w:bCs/>
    </w:rPr>
  </w:style>
  <w:style w:type="character" w:customStyle="1" w:styleId="ListLabel1428">
    <w:name w:val="ListLabel 1428"/>
    <w:qFormat/>
    <w:rPr>
      <w:rFonts w:cs="Garamond"/>
      <w:b/>
      <w:bCs/>
    </w:rPr>
  </w:style>
  <w:style w:type="character" w:customStyle="1" w:styleId="ListLabel1429">
    <w:name w:val="ListLabel 1429"/>
    <w:qFormat/>
    <w:rPr>
      <w:rFonts w:cs="Garamond"/>
      <w:b/>
      <w:bCs/>
    </w:rPr>
  </w:style>
  <w:style w:type="character" w:customStyle="1" w:styleId="ListLabel1430">
    <w:name w:val="ListLabel 1430"/>
    <w:qFormat/>
    <w:rPr>
      <w:rFonts w:cs="Garamond"/>
      <w:b/>
      <w:bCs/>
    </w:rPr>
  </w:style>
  <w:style w:type="character" w:customStyle="1" w:styleId="ListLabel1431">
    <w:name w:val="ListLabel 1431"/>
    <w:qFormat/>
    <w:rPr>
      <w:rFonts w:cs="Garamond"/>
      <w:b/>
      <w:bCs/>
    </w:rPr>
  </w:style>
  <w:style w:type="character" w:customStyle="1" w:styleId="ListLabel1432">
    <w:name w:val="ListLabel 1432"/>
    <w:qFormat/>
    <w:rPr>
      <w:rFonts w:cs="Garamond"/>
      <w:b/>
      <w:bCs/>
    </w:rPr>
  </w:style>
  <w:style w:type="character" w:customStyle="1" w:styleId="ListLabel1433">
    <w:name w:val="ListLabel 1433"/>
    <w:qFormat/>
    <w:rPr>
      <w:rFonts w:cs="Garamond"/>
      <w:b/>
      <w:bCs/>
    </w:rPr>
  </w:style>
  <w:style w:type="character" w:customStyle="1" w:styleId="ListLabel1434">
    <w:name w:val="ListLabel 1434"/>
    <w:qFormat/>
    <w:rPr>
      <w:rFonts w:cs="Garamond"/>
      <w:b/>
      <w:bCs/>
    </w:rPr>
  </w:style>
  <w:style w:type="character" w:customStyle="1" w:styleId="ListLabel1435">
    <w:name w:val="ListLabel 1435"/>
    <w:qFormat/>
    <w:rPr>
      <w:rFonts w:ascii="Calibri" w:hAnsi="Calibri" w:cs="Garamond"/>
      <w:b/>
      <w:bCs/>
      <w:sz w:val="24"/>
    </w:rPr>
  </w:style>
  <w:style w:type="character" w:customStyle="1" w:styleId="ListLabel1436">
    <w:name w:val="ListLabel 1436"/>
    <w:qFormat/>
    <w:rPr>
      <w:rFonts w:cs="Garamond"/>
      <w:b/>
      <w:bCs/>
    </w:rPr>
  </w:style>
  <w:style w:type="character" w:customStyle="1" w:styleId="ListLabel1437">
    <w:name w:val="ListLabel 1437"/>
    <w:qFormat/>
    <w:rPr>
      <w:rFonts w:cs="Garamond"/>
      <w:b/>
      <w:bCs/>
    </w:rPr>
  </w:style>
  <w:style w:type="character" w:customStyle="1" w:styleId="ListLabel1438">
    <w:name w:val="ListLabel 1438"/>
    <w:qFormat/>
    <w:rPr>
      <w:rFonts w:cs="Garamond"/>
      <w:b/>
      <w:bCs/>
    </w:rPr>
  </w:style>
  <w:style w:type="character" w:customStyle="1" w:styleId="ListLabel1439">
    <w:name w:val="ListLabel 1439"/>
    <w:qFormat/>
    <w:rPr>
      <w:rFonts w:cs="Garamond"/>
      <w:b/>
      <w:bCs/>
    </w:rPr>
  </w:style>
  <w:style w:type="character" w:customStyle="1" w:styleId="ListLabel1440">
    <w:name w:val="ListLabel 1440"/>
    <w:qFormat/>
    <w:rPr>
      <w:rFonts w:cs="Garamond"/>
      <w:b/>
      <w:bCs/>
    </w:rPr>
  </w:style>
  <w:style w:type="character" w:customStyle="1" w:styleId="ListLabel1441">
    <w:name w:val="ListLabel 1441"/>
    <w:qFormat/>
    <w:rPr>
      <w:rFonts w:cs="Garamond"/>
      <w:b/>
      <w:bCs/>
    </w:rPr>
  </w:style>
  <w:style w:type="character" w:customStyle="1" w:styleId="ListLabel1442">
    <w:name w:val="ListLabel 1442"/>
    <w:qFormat/>
    <w:rPr>
      <w:rFonts w:cs="Garamond"/>
      <w:b/>
      <w:bCs/>
    </w:rPr>
  </w:style>
  <w:style w:type="character" w:customStyle="1" w:styleId="ListLabel1443">
    <w:name w:val="ListLabel 1443"/>
    <w:qFormat/>
    <w:rPr>
      <w:rFonts w:cs="Garamond"/>
      <w:b/>
      <w:bCs/>
    </w:rPr>
  </w:style>
  <w:style w:type="character" w:customStyle="1" w:styleId="ListLabel1444">
    <w:name w:val="ListLabel 1444"/>
    <w:qFormat/>
    <w:rPr>
      <w:rFonts w:ascii="Calibri" w:hAnsi="Calibri" w:cs="Garamond"/>
      <w:b/>
      <w:bCs/>
      <w:sz w:val="24"/>
    </w:rPr>
  </w:style>
  <w:style w:type="character" w:customStyle="1" w:styleId="ListLabel1445">
    <w:name w:val="ListLabel 1445"/>
    <w:qFormat/>
    <w:rPr>
      <w:rFonts w:cs="Garamond"/>
      <w:b/>
      <w:bCs/>
    </w:rPr>
  </w:style>
  <w:style w:type="character" w:customStyle="1" w:styleId="ListLabel1446">
    <w:name w:val="ListLabel 1446"/>
    <w:qFormat/>
    <w:rPr>
      <w:rFonts w:cs="Garamond"/>
      <w:b/>
      <w:bCs/>
    </w:rPr>
  </w:style>
  <w:style w:type="character" w:customStyle="1" w:styleId="ListLabel1447">
    <w:name w:val="ListLabel 1447"/>
    <w:qFormat/>
    <w:rPr>
      <w:rFonts w:cs="Garamond"/>
      <w:b/>
      <w:bCs/>
    </w:rPr>
  </w:style>
  <w:style w:type="character" w:customStyle="1" w:styleId="ListLabel1448">
    <w:name w:val="ListLabel 1448"/>
    <w:qFormat/>
    <w:rPr>
      <w:rFonts w:cs="Garamond"/>
      <w:b/>
      <w:bCs/>
    </w:rPr>
  </w:style>
  <w:style w:type="character" w:customStyle="1" w:styleId="ListLabel1449">
    <w:name w:val="ListLabel 1449"/>
    <w:qFormat/>
    <w:rPr>
      <w:rFonts w:cs="Garamond"/>
      <w:b/>
      <w:bCs/>
    </w:rPr>
  </w:style>
  <w:style w:type="character" w:customStyle="1" w:styleId="ListLabel1450">
    <w:name w:val="ListLabel 1450"/>
    <w:qFormat/>
    <w:rPr>
      <w:rFonts w:cs="Garamond"/>
      <w:b/>
      <w:bCs/>
    </w:rPr>
  </w:style>
  <w:style w:type="character" w:customStyle="1" w:styleId="ListLabel1451">
    <w:name w:val="ListLabel 1451"/>
    <w:qFormat/>
    <w:rPr>
      <w:rFonts w:cs="Garamond"/>
      <w:b/>
      <w:bCs/>
    </w:rPr>
  </w:style>
  <w:style w:type="character" w:customStyle="1" w:styleId="ListLabel1452">
    <w:name w:val="ListLabel 1452"/>
    <w:qFormat/>
    <w:rPr>
      <w:rFonts w:cs="Garamond"/>
      <w:b/>
      <w:bCs/>
    </w:rPr>
  </w:style>
  <w:style w:type="character" w:customStyle="1" w:styleId="ListLabel1453">
    <w:name w:val="ListLabel 1453"/>
    <w:qFormat/>
    <w:rPr>
      <w:rFonts w:ascii="Calibri" w:hAnsi="Calibri" w:cs="Garamond"/>
      <w:b/>
      <w:bCs/>
      <w:sz w:val="24"/>
    </w:rPr>
  </w:style>
  <w:style w:type="character" w:customStyle="1" w:styleId="ListLabel1454">
    <w:name w:val="ListLabel 1454"/>
    <w:qFormat/>
    <w:rPr>
      <w:rFonts w:ascii="Calibri" w:hAnsi="Calibri" w:cs="Garamond"/>
      <w:b/>
      <w:bCs/>
      <w:sz w:val="24"/>
    </w:rPr>
  </w:style>
  <w:style w:type="character" w:customStyle="1" w:styleId="ListLabel1455">
    <w:name w:val="ListLabel 1455"/>
    <w:qFormat/>
    <w:rPr>
      <w:rFonts w:cs="Garamond"/>
      <w:b/>
      <w:bCs/>
    </w:rPr>
  </w:style>
  <w:style w:type="character" w:customStyle="1" w:styleId="ListLabel1456">
    <w:name w:val="ListLabel 1456"/>
    <w:qFormat/>
    <w:rPr>
      <w:rFonts w:cs="Garamond"/>
      <w:b/>
      <w:bCs/>
    </w:rPr>
  </w:style>
  <w:style w:type="character" w:customStyle="1" w:styleId="ListLabel1457">
    <w:name w:val="ListLabel 1457"/>
    <w:qFormat/>
    <w:rPr>
      <w:rFonts w:cs="Garamond"/>
      <w:b/>
      <w:bCs/>
    </w:rPr>
  </w:style>
  <w:style w:type="character" w:customStyle="1" w:styleId="ListLabel1458">
    <w:name w:val="ListLabel 1458"/>
    <w:qFormat/>
    <w:rPr>
      <w:rFonts w:cs="Garamond"/>
      <w:b/>
      <w:bCs/>
    </w:rPr>
  </w:style>
  <w:style w:type="character" w:customStyle="1" w:styleId="ListLabel1459">
    <w:name w:val="ListLabel 1459"/>
    <w:qFormat/>
    <w:rPr>
      <w:rFonts w:cs="Garamond"/>
      <w:b/>
      <w:bCs/>
    </w:rPr>
  </w:style>
  <w:style w:type="character" w:customStyle="1" w:styleId="ListLabel1460">
    <w:name w:val="ListLabel 1460"/>
    <w:qFormat/>
    <w:rPr>
      <w:rFonts w:cs="Garamond"/>
      <w:b/>
      <w:bCs/>
    </w:rPr>
  </w:style>
  <w:style w:type="character" w:customStyle="1" w:styleId="ListLabel1461">
    <w:name w:val="ListLabel 1461"/>
    <w:qFormat/>
    <w:rPr>
      <w:rFonts w:cs="Garamond"/>
      <w:b/>
      <w:bCs/>
    </w:rPr>
  </w:style>
  <w:style w:type="character" w:customStyle="1" w:styleId="ListLabel1462">
    <w:name w:val="ListLabel 1462"/>
    <w:qFormat/>
    <w:rPr>
      <w:rFonts w:ascii="Calibri" w:hAnsi="Calibri" w:cs="Garamond"/>
      <w:b/>
      <w:bCs/>
      <w:sz w:val="24"/>
    </w:rPr>
  </w:style>
  <w:style w:type="character" w:customStyle="1" w:styleId="ListLabel1463">
    <w:name w:val="ListLabel 1463"/>
    <w:qFormat/>
    <w:rPr>
      <w:rFonts w:cs="Garamond"/>
      <w:b/>
      <w:bCs/>
    </w:rPr>
  </w:style>
  <w:style w:type="character" w:customStyle="1" w:styleId="ListLabel1464">
    <w:name w:val="ListLabel 1464"/>
    <w:qFormat/>
    <w:rPr>
      <w:rFonts w:cs="Garamond"/>
      <w:b/>
      <w:bCs/>
    </w:rPr>
  </w:style>
  <w:style w:type="character" w:customStyle="1" w:styleId="ListLabel1465">
    <w:name w:val="ListLabel 1465"/>
    <w:qFormat/>
    <w:rPr>
      <w:rFonts w:cs="Garamond"/>
      <w:b/>
      <w:bCs/>
    </w:rPr>
  </w:style>
  <w:style w:type="character" w:customStyle="1" w:styleId="ListLabel1466">
    <w:name w:val="ListLabel 1466"/>
    <w:qFormat/>
    <w:rPr>
      <w:rFonts w:cs="Garamond"/>
      <w:b/>
      <w:bCs/>
    </w:rPr>
  </w:style>
  <w:style w:type="character" w:customStyle="1" w:styleId="ListLabel1467">
    <w:name w:val="ListLabel 1467"/>
    <w:qFormat/>
    <w:rPr>
      <w:rFonts w:cs="Garamond"/>
      <w:b/>
      <w:bCs/>
    </w:rPr>
  </w:style>
  <w:style w:type="character" w:customStyle="1" w:styleId="ListLabel1468">
    <w:name w:val="ListLabel 1468"/>
    <w:qFormat/>
    <w:rPr>
      <w:rFonts w:cs="Garamond"/>
      <w:b/>
      <w:bCs/>
    </w:rPr>
  </w:style>
  <w:style w:type="character" w:customStyle="1" w:styleId="ListLabel1469">
    <w:name w:val="ListLabel 1469"/>
    <w:qFormat/>
    <w:rPr>
      <w:rFonts w:cs="Garamond"/>
      <w:b/>
      <w:bCs/>
    </w:rPr>
  </w:style>
  <w:style w:type="character" w:customStyle="1" w:styleId="ListLabel1470">
    <w:name w:val="ListLabel 1470"/>
    <w:qFormat/>
    <w:rPr>
      <w:rFonts w:cs="Garamond"/>
      <w:b/>
      <w:bCs/>
    </w:rPr>
  </w:style>
  <w:style w:type="character" w:customStyle="1" w:styleId="ListLabel1471">
    <w:name w:val="ListLabel 1471"/>
    <w:qFormat/>
    <w:rPr>
      <w:rFonts w:ascii="Calibri" w:hAnsi="Calibri" w:cs="Garamond"/>
      <w:b/>
      <w:bCs/>
      <w:sz w:val="24"/>
    </w:rPr>
  </w:style>
  <w:style w:type="character" w:customStyle="1" w:styleId="ListLabel1472">
    <w:name w:val="ListLabel 1472"/>
    <w:qFormat/>
    <w:rPr>
      <w:rFonts w:ascii="Calibri" w:hAnsi="Calibri" w:cs="Garamond"/>
      <w:b/>
      <w:bCs/>
      <w:sz w:val="24"/>
    </w:rPr>
  </w:style>
  <w:style w:type="character" w:customStyle="1" w:styleId="ListLabel1473">
    <w:name w:val="ListLabel 1473"/>
    <w:qFormat/>
    <w:rPr>
      <w:rFonts w:cs="Garamond"/>
      <w:b/>
      <w:bCs/>
    </w:rPr>
  </w:style>
  <w:style w:type="character" w:customStyle="1" w:styleId="ListLabel1474">
    <w:name w:val="ListLabel 1474"/>
    <w:qFormat/>
    <w:rPr>
      <w:rFonts w:cs="Garamond"/>
      <w:b/>
      <w:bCs/>
    </w:rPr>
  </w:style>
  <w:style w:type="character" w:customStyle="1" w:styleId="ListLabel1475">
    <w:name w:val="ListLabel 1475"/>
    <w:qFormat/>
    <w:rPr>
      <w:rFonts w:cs="Garamond"/>
      <w:b/>
      <w:bCs/>
    </w:rPr>
  </w:style>
  <w:style w:type="character" w:customStyle="1" w:styleId="ListLabel1476">
    <w:name w:val="ListLabel 1476"/>
    <w:qFormat/>
    <w:rPr>
      <w:rFonts w:cs="Garamond"/>
      <w:b/>
      <w:bCs/>
    </w:rPr>
  </w:style>
  <w:style w:type="character" w:customStyle="1" w:styleId="ListLabel1477">
    <w:name w:val="ListLabel 1477"/>
    <w:qFormat/>
    <w:rPr>
      <w:rFonts w:cs="Garamond"/>
      <w:b/>
      <w:bCs/>
    </w:rPr>
  </w:style>
  <w:style w:type="character" w:customStyle="1" w:styleId="ListLabel1478">
    <w:name w:val="ListLabel 1478"/>
    <w:qFormat/>
    <w:rPr>
      <w:rFonts w:cs="Garamond"/>
      <w:b/>
      <w:bCs/>
    </w:rPr>
  </w:style>
  <w:style w:type="character" w:customStyle="1" w:styleId="ListLabel1479">
    <w:name w:val="ListLabel 1479"/>
    <w:qFormat/>
    <w:rPr>
      <w:rFonts w:cs="Garamond"/>
      <w:b/>
      <w:bCs/>
    </w:rPr>
  </w:style>
  <w:style w:type="character" w:customStyle="1" w:styleId="ListLabel1480">
    <w:name w:val="ListLabel 1480"/>
    <w:qFormat/>
    <w:rPr>
      <w:rFonts w:ascii="Calibri" w:hAnsi="Calibri" w:cs="Garamond"/>
      <w:b/>
      <w:bCs/>
      <w:sz w:val="24"/>
    </w:rPr>
  </w:style>
  <w:style w:type="character" w:customStyle="1" w:styleId="ListLabel1481">
    <w:name w:val="ListLabel 1481"/>
    <w:qFormat/>
    <w:rPr>
      <w:rFonts w:cs="Garamond"/>
      <w:b/>
      <w:bCs/>
    </w:rPr>
  </w:style>
  <w:style w:type="character" w:customStyle="1" w:styleId="ListLabel1482">
    <w:name w:val="ListLabel 1482"/>
    <w:qFormat/>
    <w:rPr>
      <w:rFonts w:cs="Garamond"/>
      <w:b/>
      <w:bCs/>
    </w:rPr>
  </w:style>
  <w:style w:type="character" w:customStyle="1" w:styleId="ListLabel1483">
    <w:name w:val="ListLabel 1483"/>
    <w:qFormat/>
    <w:rPr>
      <w:rFonts w:cs="Garamond"/>
      <w:b/>
      <w:bCs/>
    </w:rPr>
  </w:style>
  <w:style w:type="character" w:customStyle="1" w:styleId="ListLabel1484">
    <w:name w:val="ListLabel 1484"/>
    <w:qFormat/>
    <w:rPr>
      <w:rFonts w:cs="Garamond"/>
      <w:b/>
      <w:bCs/>
    </w:rPr>
  </w:style>
  <w:style w:type="character" w:customStyle="1" w:styleId="ListLabel1485">
    <w:name w:val="ListLabel 1485"/>
    <w:qFormat/>
    <w:rPr>
      <w:rFonts w:cs="Garamond"/>
      <w:b/>
      <w:bCs/>
    </w:rPr>
  </w:style>
  <w:style w:type="character" w:customStyle="1" w:styleId="ListLabel1486">
    <w:name w:val="ListLabel 1486"/>
    <w:qFormat/>
    <w:rPr>
      <w:rFonts w:cs="Garamond"/>
      <w:b/>
      <w:bCs/>
    </w:rPr>
  </w:style>
  <w:style w:type="character" w:customStyle="1" w:styleId="ListLabel1487">
    <w:name w:val="ListLabel 1487"/>
    <w:qFormat/>
    <w:rPr>
      <w:rFonts w:cs="Garamond"/>
      <w:b/>
      <w:bCs/>
    </w:rPr>
  </w:style>
  <w:style w:type="character" w:customStyle="1" w:styleId="ListLabel1488">
    <w:name w:val="ListLabel 1488"/>
    <w:qFormat/>
    <w:rPr>
      <w:rFonts w:cs="Garamond"/>
      <w:b/>
      <w:bCs/>
    </w:rPr>
  </w:style>
  <w:style w:type="paragraph" w:styleId="Nagwek">
    <w:name w:val="header"/>
    <w:basedOn w:val="Normalny"/>
    <w:next w:val="Tekstpodstawowy"/>
    <w:link w:val="NagwekZnak"/>
    <w:uiPriority w:val="99"/>
    <w:unhideWhenUsed/>
    <w:rsid w:val="00184153"/>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184153"/>
    <w:rPr>
      <w:rFonts w:ascii="Segoe UI" w:hAnsi="Segoe UI" w:cs="Segoe UI"/>
      <w:sz w:val="18"/>
      <w:szCs w:val="18"/>
    </w:rPr>
  </w:style>
  <w:style w:type="paragraph" w:styleId="Stopka">
    <w:name w:val="footer"/>
    <w:basedOn w:val="Normalny"/>
    <w:link w:val="StopkaZnak"/>
    <w:uiPriority w:val="99"/>
    <w:unhideWhenUsed/>
    <w:rsid w:val="00184153"/>
    <w:pPr>
      <w:tabs>
        <w:tab w:val="center" w:pos="4536"/>
        <w:tab w:val="right" w:pos="9072"/>
      </w:tabs>
    </w:pPr>
  </w:style>
  <w:style w:type="paragraph" w:styleId="Akapitzlist">
    <w:name w:val="List Paragraph"/>
    <w:basedOn w:val="Normalny"/>
    <w:link w:val="AkapitzlistZnak"/>
    <w:uiPriority w:val="34"/>
    <w:qFormat/>
    <w:rsid w:val="00DC39CA"/>
    <w:pPr>
      <w:ind w:left="720"/>
      <w:contextualSpacing/>
    </w:pPr>
  </w:style>
  <w:style w:type="paragraph" w:customStyle="1" w:styleId="Default">
    <w:name w:val="Default"/>
    <w:qFormat/>
    <w:rsid w:val="00DC39CA"/>
    <w:rPr>
      <w:rFonts w:ascii="Times New Roman" w:eastAsia="Times New Roman" w:hAnsi="Times New Roman" w:cs="Times New Roman"/>
      <w:color w:val="000000"/>
      <w:sz w:val="24"/>
      <w:szCs w:val="24"/>
      <w:lang w:eastAsia="pl-PL"/>
    </w:rPr>
  </w:style>
  <w:style w:type="paragraph" w:styleId="Nagwekwykazurde">
    <w:name w:val="toa heading"/>
    <w:basedOn w:val="Nagwek"/>
    <w:qFormat/>
    <w:pPr>
      <w:suppressLineNumbers/>
    </w:pPr>
    <w:rPr>
      <w:b/>
      <w:bCs/>
      <w:sz w:val="32"/>
      <w:szCs w:val="32"/>
    </w:rPr>
  </w:style>
  <w:style w:type="paragraph" w:styleId="Spistreci1">
    <w:name w:val="toc 1"/>
    <w:basedOn w:val="Indeks"/>
    <w:pPr>
      <w:tabs>
        <w:tab w:val="right" w:leader="dot" w:pos="9355"/>
      </w:tabs>
    </w:pPr>
  </w:style>
  <w:style w:type="paragraph" w:styleId="Spistreci2">
    <w:name w:val="toc 2"/>
    <w:basedOn w:val="Indeks"/>
    <w:pPr>
      <w:tabs>
        <w:tab w:val="right" w:leader="dot" w:pos="19826"/>
      </w:tabs>
      <w:ind w:left="283"/>
    </w:pPr>
  </w:style>
  <w:style w:type="paragraph" w:styleId="Tekstkomentarza">
    <w:name w:val="annotation text"/>
    <w:basedOn w:val="Normalny"/>
    <w:link w:val="TekstkomentarzaZnak"/>
    <w:uiPriority w:val="99"/>
    <w:unhideWhenUsed/>
    <w:qFormat/>
    <w:rsid w:val="00973917"/>
    <w:rPr>
      <w:sz w:val="20"/>
      <w:szCs w:val="20"/>
    </w:rPr>
  </w:style>
  <w:style w:type="paragraph" w:styleId="Tematkomentarza">
    <w:name w:val="annotation subject"/>
    <w:basedOn w:val="Tekstkomentarza"/>
    <w:link w:val="TematkomentarzaZnak"/>
    <w:uiPriority w:val="99"/>
    <w:semiHidden/>
    <w:unhideWhenUsed/>
    <w:qFormat/>
    <w:rsid w:val="00973917"/>
    <w:rPr>
      <w:b/>
      <w:bCs/>
    </w:rPr>
  </w:style>
  <w:style w:type="paragraph" w:styleId="NormalnyWeb">
    <w:name w:val="Normal (Web)"/>
    <w:basedOn w:val="Normalny"/>
    <w:uiPriority w:val="99"/>
    <w:semiHidden/>
    <w:unhideWhenUsed/>
    <w:qFormat/>
    <w:rsid w:val="007843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71</Pages>
  <Words>22063</Words>
  <Characters>132380</Characters>
  <Application>Microsoft Office Word</Application>
  <DocSecurity>0</DocSecurity>
  <Lines>1103</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Ferdyn</dc:creator>
  <dc:description/>
  <cp:lastModifiedBy>Wojakowski Tomasz</cp:lastModifiedBy>
  <cp:revision>4</cp:revision>
  <dcterms:created xsi:type="dcterms:W3CDTF">2020-09-07T10:08:00Z</dcterms:created>
  <dcterms:modified xsi:type="dcterms:W3CDTF">2020-09-10T09:31:00Z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