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A1BD" w14:textId="219CA434" w:rsidR="00B25DEB" w:rsidRDefault="00B25DEB" w:rsidP="00CD68C0">
      <w:pPr>
        <w:pStyle w:val="Nagwek1"/>
      </w:pPr>
      <w:r w:rsidRPr="00B25DEB">
        <w:t>Szczegółowy wykaz wprowadzonych zmia</w:t>
      </w:r>
      <w:r>
        <w:t>n w</w:t>
      </w:r>
      <w:r w:rsidRPr="00DB638E">
        <w:t xml:space="preserve"> </w:t>
      </w:r>
      <w:r>
        <w:t>„</w:t>
      </w:r>
      <w:r w:rsidRPr="00A55074">
        <w:t>Regulamin</w:t>
      </w:r>
      <w:r w:rsidRPr="00DB638E">
        <w:t>ie</w:t>
      </w:r>
      <w:r w:rsidRPr="00A55074">
        <w:t xml:space="preserve"> konkursu grantowego dla jednostek samorządu terytorialnego</w:t>
      </w:r>
      <w:r>
        <w:t>”</w:t>
      </w:r>
    </w:p>
    <w:p w14:paraId="6CF2908C" w14:textId="77777777" w:rsidR="00B25DEB" w:rsidRPr="00B25DEB" w:rsidRDefault="00B25DEB" w:rsidP="00B25DEB"/>
    <w:p w14:paraId="39A61C59" w14:textId="5E0992D3" w:rsidR="00CA5D1F" w:rsidRPr="00F1087B" w:rsidRDefault="00A55074" w:rsidP="00F1087B">
      <w:pPr>
        <w:pStyle w:val="Nagwek2"/>
      </w:pPr>
      <w:r w:rsidRPr="00F1087B">
        <w:t>Zmiany zostały wprowadzone w następujących dokumentach:</w:t>
      </w:r>
    </w:p>
    <w:p w14:paraId="14E7D241" w14:textId="77777777" w:rsidR="00A55074" w:rsidRPr="00A55074" w:rsidRDefault="00A55074" w:rsidP="00A55074">
      <w:pPr>
        <w:numPr>
          <w:ilvl w:val="0"/>
          <w:numId w:val="11"/>
        </w:numPr>
      </w:pPr>
      <w:r w:rsidRPr="00A55074">
        <w:t>Regulaminie konkursu grantowego dla jednostek samorządu terytorialnego,</w:t>
      </w:r>
    </w:p>
    <w:p w14:paraId="1C79D398" w14:textId="77777777" w:rsidR="00A55074" w:rsidRPr="00A55074" w:rsidRDefault="00A55074" w:rsidP="00A55074">
      <w:pPr>
        <w:numPr>
          <w:ilvl w:val="0"/>
          <w:numId w:val="11"/>
        </w:numPr>
      </w:pPr>
      <w:r w:rsidRPr="00A55074">
        <w:t>w załączniku nr 4 do Regulaminu Konkursu grantowego dla jednostek samorządu terytorialnego „Wytyczne do przygotowania przez wnioskodawców kompleksowej koncepcji transportu osób z potrzebą wsparcia w zakresie mobilności”,</w:t>
      </w:r>
    </w:p>
    <w:p w14:paraId="08B728BE" w14:textId="77777777" w:rsidR="00A55074" w:rsidRPr="00A55074" w:rsidRDefault="00A55074" w:rsidP="00A55074">
      <w:pPr>
        <w:numPr>
          <w:ilvl w:val="0"/>
          <w:numId w:val="11"/>
        </w:numPr>
      </w:pPr>
      <w:r w:rsidRPr="00A55074">
        <w:t>w załączniku nr 5 do Regulaminu Konkursu grantowego dla jednostek samorządu terytorialnego „Minimalne wymogi w zakresie standardu usługi door-to-door”,</w:t>
      </w:r>
    </w:p>
    <w:p w14:paraId="75A2AF2D" w14:textId="77777777" w:rsidR="00A55074" w:rsidRPr="00A55074" w:rsidRDefault="00A55074" w:rsidP="00A55074">
      <w:pPr>
        <w:numPr>
          <w:ilvl w:val="0"/>
          <w:numId w:val="11"/>
        </w:numPr>
      </w:pPr>
      <w:r w:rsidRPr="00A55074">
        <w:t>w załączniku nr 9 do Regulaminu Konkursu grantowego dla jednostek samorządu „Wzór umowy o przyznanie grantu”.</w:t>
      </w:r>
    </w:p>
    <w:p w14:paraId="7D274D5A" w14:textId="77777777" w:rsidR="00A55074" w:rsidRPr="00A55074" w:rsidRDefault="00A55074" w:rsidP="00A55074"/>
    <w:p w14:paraId="67CF6736" w14:textId="374A7DC0" w:rsidR="00A55074" w:rsidRDefault="00A55074" w:rsidP="00A55074">
      <w:bookmarkStart w:id="0" w:name="_Hlk59538856"/>
      <w:r>
        <w:t>Szczegółowy wykaz wprowadzonych zmia</w:t>
      </w:r>
      <w:bookmarkEnd w:id="0"/>
      <w:r>
        <w:t>n przedstawia się następująco:</w:t>
      </w:r>
      <w:r w:rsidRPr="00A55074">
        <w:t xml:space="preserve"> </w:t>
      </w:r>
    </w:p>
    <w:p w14:paraId="3FC7121B" w14:textId="77777777" w:rsidR="00DB638E" w:rsidRDefault="00DB638E" w:rsidP="00A55074"/>
    <w:p w14:paraId="5AB8BD6D" w14:textId="42F11F4C" w:rsidR="00DB638E" w:rsidRPr="00A55074" w:rsidRDefault="00DB638E" w:rsidP="00F1087B">
      <w:pPr>
        <w:pStyle w:val="Nagwek2"/>
      </w:pPr>
      <w:r w:rsidRPr="00DB638E">
        <w:t xml:space="preserve">W </w:t>
      </w:r>
      <w:r w:rsidRPr="00A55074">
        <w:t>Regulamin</w:t>
      </w:r>
      <w:r w:rsidRPr="00DB638E">
        <w:t>ie</w:t>
      </w:r>
      <w:r w:rsidRPr="00A55074">
        <w:t xml:space="preserve"> konkursu grantowego dla jednostek samorządu terytorialnego</w:t>
      </w:r>
      <w:r w:rsidRPr="00DB638E">
        <w:t>:</w:t>
      </w:r>
    </w:p>
    <w:p w14:paraId="1AB763A7" w14:textId="77777777" w:rsidR="00A55074" w:rsidRPr="00A55074" w:rsidRDefault="00A55074" w:rsidP="00DB638E">
      <w:pPr>
        <w:numPr>
          <w:ilvl w:val="1"/>
          <w:numId w:val="5"/>
        </w:numPr>
        <w:ind w:left="426" w:hanging="426"/>
      </w:pPr>
      <w:r w:rsidRPr="00A55074">
        <w:t xml:space="preserve">w rozdziale „8. Regulamin świadczenia usług door-to-door” ust. 8.1. otrzymuje brzmienie: </w:t>
      </w:r>
    </w:p>
    <w:p w14:paraId="0876B9C4" w14:textId="77777777" w:rsidR="00A55074" w:rsidRPr="00A55074" w:rsidRDefault="00A55074" w:rsidP="00A55074">
      <w:r w:rsidRPr="00A55074">
        <w:t>„8.1.</w:t>
      </w:r>
      <w:r w:rsidRPr="00A55074">
        <w:tab/>
      </w:r>
      <w:bookmarkStart w:id="1" w:name="_Hlk59030867"/>
      <w:r w:rsidRPr="00A55074">
        <w:t xml:space="preserve">Jednostka samorządu terytorialnego, która otrzyma finansowanie (grant) </w:t>
      </w:r>
      <w:r w:rsidRPr="00A55074">
        <w:br/>
        <w:t xml:space="preserve">w ramach konkursu i będzie wdrażać usługi transportowe door-to-door, jest zobowiązana do przyjęcia w formie uchwały organu wykonawczego - uchwały zarządu powiatu, a w przypadku gminy w formie zarządzenia wójta, burmistrza, prezydenta lub też w formie zarządzenia dyrektora jednostki organizacyjnej realizującej projekt i ogłoszenia publicznie Regulaminu świadczenia usług transportowych door-to-door, w terminie </w:t>
      </w:r>
      <w:r w:rsidRPr="00A55074">
        <w:br/>
        <w:t xml:space="preserve">30 dni kalendarzowych od opublikowania listy rankingowej projektów </w:t>
      </w:r>
      <w:r w:rsidRPr="00A55074">
        <w:br/>
        <w:t>na stronie internetowej PFRON.</w:t>
      </w:r>
      <w:bookmarkEnd w:id="1"/>
      <w:r w:rsidRPr="00A55074">
        <w:t xml:space="preserve">”; </w:t>
      </w:r>
    </w:p>
    <w:p w14:paraId="4DC13B3E" w14:textId="77777777" w:rsidR="00A55074" w:rsidRPr="00A55074" w:rsidRDefault="00A55074" w:rsidP="00DB638E">
      <w:pPr>
        <w:numPr>
          <w:ilvl w:val="1"/>
          <w:numId w:val="5"/>
        </w:numPr>
        <w:ind w:left="426" w:hanging="426"/>
      </w:pPr>
      <w:r w:rsidRPr="00A55074">
        <w:t xml:space="preserve">w rozdziale „20. Procedura odwoławcza” ust. 20.4. otrzymuje brzmienie: </w:t>
      </w:r>
    </w:p>
    <w:p w14:paraId="090A855B" w14:textId="77777777" w:rsidR="00A55074" w:rsidRPr="00A55074" w:rsidRDefault="00A55074" w:rsidP="00A55074">
      <w:r w:rsidRPr="00A55074">
        <w:t>„20.4.</w:t>
      </w:r>
      <w:r w:rsidRPr="00A55074">
        <w:tab/>
        <w:t xml:space="preserve">Wnioskodawca może wnieść odwołanie w terminie 21 dni kalendarzowych od dnia otrzymania, za pośrednictwem generatora wniosków, informacji o wyniku oceny projektu. Odwołanie należy złożyć w formie pisemnej. Terminem złożenia odwołania jest data nadania </w:t>
      </w:r>
      <w:r w:rsidRPr="00A55074">
        <w:br/>
        <w:t xml:space="preserve">w polskiej placówce pocztowej lub data doręczenia do siedziby PFRON w Warszawie. Instytucją, do której składane jest odwołanie jest Państwowy Fundusz Rehabilitacji Osób Niepełnosprawnych, al. Jana Pawła II 13, 00-828 Warszawa (biuro czynne od poniedziałku do piątku </w:t>
      </w:r>
      <w:r w:rsidRPr="00A55074">
        <w:br/>
        <w:t>w godz. 8.00 – 16.00).”;</w:t>
      </w:r>
    </w:p>
    <w:p w14:paraId="73AAA0A3" w14:textId="77777777" w:rsidR="00A55074" w:rsidRPr="00A55074" w:rsidRDefault="00A55074" w:rsidP="00DB638E">
      <w:pPr>
        <w:numPr>
          <w:ilvl w:val="1"/>
          <w:numId w:val="5"/>
        </w:numPr>
        <w:ind w:left="426" w:hanging="426"/>
      </w:pPr>
      <w:r w:rsidRPr="00A55074">
        <w:t>w rozdziale „21. Dokumenty niezbędne do podpisania umowy”:</w:t>
      </w:r>
    </w:p>
    <w:p w14:paraId="2F6B2EA7" w14:textId="2FA828E2" w:rsidR="00A55074" w:rsidRPr="00A55074" w:rsidRDefault="00A55074" w:rsidP="00A55074">
      <w:pPr>
        <w:numPr>
          <w:ilvl w:val="0"/>
          <w:numId w:val="6"/>
        </w:numPr>
        <w:ind w:left="567" w:hanging="283"/>
      </w:pPr>
      <w:r w:rsidRPr="00A55074">
        <w:t>pkt 21.2.1. otrzymuje brzmienie:„21.2.1.</w:t>
      </w:r>
      <w:r w:rsidRPr="00A55074">
        <w:tab/>
        <w:t xml:space="preserve">papierowa wersja zatwierdzonego wniosku o przyznanie grantu podpisana przez osoby uprawnione do reprezentacji wnioskodawcy </w:t>
      </w:r>
      <w:r w:rsidRPr="00A55074">
        <w:br/>
        <w:t xml:space="preserve">i zaciągania zobowiązań finansowych </w:t>
      </w:r>
      <w:bookmarkStart w:id="2" w:name="_Hlk59030988"/>
      <w:r w:rsidRPr="00A55074">
        <w:t>lub wersja w formie elektronicznej opatrzona przez osoby uprawnione kwalifikowanym podpisem elektronicznym;</w:t>
      </w:r>
      <w:bookmarkEnd w:id="2"/>
      <w:r w:rsidRPr="00A55074">
        <w:t>”;</w:t>
      </w:r>
    </w:p>
    <w:p w14:paraId="3DE97670" w14:textId="77777777" w:rsidR="00A55074" w:rsidRPr="00A55074" w:rsidRDefault="00A55074" w:rsidP="00A55074">
      <w:pPr>
        <w:numPr>
          <w:ilvl w:val="0"/>
          <w:numId w:val="6"/>
        </w:numPr>
        <w:ind w:left="567" w:hanging="283"/>
      </w:pPr>
      <w:r w:rsidRPr="00A55074">
        <w:t>skreśla się pkt 21.2.4.;</w:t>
      </w:r>
    </w:p>
    <w:p w14:paraId="40718240" w14:textId="77777777" w:rsidR="00A55074" w:rsidRPr="00A55074" w:rsidRDefault="00A55074" w:rsidP="00A55074">
      <w:pPr>
        <w:numPr>
          <w:ilvl w:val="0"/>
          <w:numId w:val="6"/>
        </w:numPr>
        <w:ind w:left="567" w:hanging="283"/>
      </w:pPr>
      <w:r w:rsidRPr="00A55074">
        <w:t>dotychczasowa numeracja punktów: 21.2.5., 21.2.6., 21.2.7., 21.2.8. otrzymuje odpowiednio numerację: 21.2.4., 21.2.5., 21.2.6., 21.2.7.;</w:t>
      </w:r>
    </w:p>
    <w:p w14:paraId="2AE2A55B" w14:textId="5F19E93C" w:rsidR="00A55074" w:rsidRPr="00A55074" w:rsidRDefault="00A55074" w:rsidP="00A55074">
      <w:pPr>
        <w:numPr>
          <w:ilvl w:val="0"/>
          <w:numId w:val="6"/>
        </w:numPr>
        <w:ind w:left="567" w:hanging="283"/>
      </w:pPr>
      <w:r w:rsidRPr="00A55074">
        <w:t>ust. 21.3. otrzymuje brzmienie:</w:t>
      </w:r>
      <w:r>
        <w:t xml:space="preserve"> </w:t>
      </w:r>
      <w:r w:rsidRPr="00A55074">
        <w:t xml:space="preserve">„21.3.Dokumenty, o których mowa w ust. 21.2. pkt 2-6, mogą zostać złożone jako oryginały </w:t>
      </w:r>
      <w:bookmarkStart w:id="3" w:name="_Hlk59031097"/>
      <w:r w:rsidRPr="00A55074">
        <w:t xml:space="preserve">bądź jako kopie potwierdzone za zgodność z oryginałem przez osoby uprawnione do reprezentacji wnioskodawcy </w:t>
      </w:r>
      <w:r w:rsidRPr="00A55074">
        <w:br/>
        <w:t>i zaciągania zobowiązań finansowych lub notariusza. Jako oryginał traktuje się również dokument opatrzony kwalifikowanym podpisem elektronicznym.”;</w:t>
      </w:r>
    </w:p>
    <w:bookmarkEnd w:id="3"/>
    <w:p w14:paraId="7C87E765" w14:textId="001597D7" w:rsidR="00A55074" w:rsidRPr="00A55074" w:rsidRDefault="00A55074" w:rsidP="00A55074">
      <w:pPr>
        <w:numPr>
          <w:ilvl w:val="0"/>
          <w:numId w:val="6"/>
        </w:numPr>
        <w:ind w:left="567" w:hanging="283"/>
      </w:pPr>
      <w:r w:rsidRPr="00A55074">
        <w:t>po ust. 21.5. dodaje się ust. 21.5a. w brzmieniu:„21.5a.</w:t>
      </w:r>
      <w:bookmarkStart w:id="4" w:name="_Hlk59031170"/>
      <w:r w:rsidRPr="00A55074">
        <w:t xml:space="preserve">Jednostka samorządu terytorialnego zobowiązuje się do przekazania do PFRON Koncepcji transportu w formie dokumentu </w:t>
      </w:r>
      <w:r w:rsidRPr="00A55074">
        <w:lastRenderedPageBreak/>
        <w:t xml:space="preserve">obowiązującego na terenie objętym projektem w ciągu 90 dni kalendarzowych od dnia zawarcia umowy, jednak nie później niż </w:t>
      </w:r>
      <w:r w:rsidRPr="00A55074">
        <w:br/>
        <w:t>w dniu poprzedzającym rozpoczęcie świadczenia usług door-to-door.</w:t>
      </w:r>
      <w:bookmarkEnd w:id="4"/>
      <w:r w:rsidRPr="00A55074">
        <w:t>”;</w:t>
      </w:r>
    </w:p>
    <w:p w14:paraId="65A9D0BA" w14:textId="576ED2F1" w:rsidR="00A55074" w:rsidRPr="00A55074" w:rsidRDefault="00A55074" w:rsidP="00A55074">
      <w:pPr>
        <w:numPr>
          <w:ilvl w:val="1"/>
          <w:numId w:val="5"/>
        </w:numPr>
        <w:ind w:left="426" w:hanging="426"/>
        <w:rPr>
          <w:b/>
          <w:bCs/>
        </w:rPr>
      </w:pPr>
      <w:r w:rsidRPr="00A55074">
        <w:t>w rozdziale „22. Harmonogram płatności” ust. 22.1. otrzymuje brzmienie:</w:t>
      </w:r>
      <w:r>
        <w:rPr>
          <w:b/>
          <w:bCs/>
        </w:rPr>
        <w:t xml:space="preserve"> </w:t>
      </w:r>
      <w:r w:rsidRPr="00A55074">
        <w:t xml:space="preserve">„22.1.Finansowanie (grant) na realizację projektu będzie wypłacane w formie transz: pierwsza transza zaliczkowo po podpisaniu umowy z PFRON, </w:t>
      </w:r>
      <w:r w:rsidRPr="00A55074">
        <w:br/>
        <w:t xml:space="preserve">w wysokości 60% przyznanego grantu, druga transza zaliczkowo </w:t>
      </w:r>
      <w:r w:rsidRPr="00A55074">
        <w:br/>
        <w:t xml:space="preserve">w wysokości 30% przyznanego grantu po złożeniu przez jednostkę samorządu terytorialnego częściowego sprawozdania i rozliczenia </w:t>
      </w:r>
      <w:r w:rsidRPr="00A55074">
        <w:br/>
        <w:t xml:space="preserve">co najmniej 60% pierwszej transzy i uznania tego rozliczenia przez PFRON; trzecia transza do 10% przyznanego grantu w formie refundacji, </w:t>
      </w:r>
      <w:r w:rsidRPr="00A55074">
        <w:br/>
        <w:t xml:space="preserve">po złożeniu przez jednostkę samorządu terytorialnego sprawozdania końcowego i rozliczeniu wcześniej przekazanych przez PFRON środków. </w:t>
      </w:r>
      <w:bookmarkStart w:id="5" w:name="_Hlk59031607"/>
      <w:r w:rsidRPr="00A55074">
        <w:t>Warunkiem płatności transz jest dostępność środków w planie finansowym PFRON.</w:t>
      </w:r>
      <w:bookmarkEnd w:id="5"/>
      <w:r w:rsidRPr="00A55074">
        <w:t>”;</w:t>
      </w:r>
      <w:r>
        <w:t xml:space="preserve"> </w:t>
      </w:r>
    </w:p>
    <w:p w14:paraId="3E3C1100" w14:textId="77777777" w:rsidR="00A55074" w:rsidRDefault="00A55074" w:rsidP="00A55074">
      <w:pPr>
        <w:numPr>
          <w:ilvl w:val="1"/>
          <w:numId w:val="5"/>
        </w:numPr>
        <w:ind w:left="426" w:hanging="284"/>
        <w:rPr>
          <w:b/>
          <w:bCs/>
        </w:rPr>
      </w:pPr>
      <w:r w:rsidRPr="00A55074">
        <w:t>w rozdziale „25. Dopuszczalne zmiany w budżecie” skreśla się ust. 25.3.;</w:t>
      </w:r>
    </w:p>
    <w:p w14:paraId="3FF2EDBB" w14:textId="21650CB0" w:rsidR="00A55074" w:rsidRPr="00A55074" w:rsidRDefault="00A55074" w:rsidP="00A55074">
      <w:pPr>
        <w:numPr>
          <w:ilvl w:val="1"/>
          <w:numId w:val="5"/>
        </w:numPr>
        <w:ind w:left="426" w:hanging="284"/>
        <w:rPr>
          <w:b/>
          <w:bCs/>
        </w:rPr>
      </w:pPr>
      <w:r w:rsidRPr="00A55074">
        <w:t>w rozdziale „30. Postanowienia końcowe” ust. 30.2. otrzymuje brzmienie:</w:t>
      </w:r>
      <w:r>
        <w:t xml:space="preserve"> </w:t>
      </w:r>
      <w:r w:rsidRPr="00A55074">
        <w:t>„30.2.</w:t>
      </w:r>
      <w:r w:rsidRPr="00A55074">
        <w:tab/>
      </w:r>
      <w:bookmarkStart w:id="6" w:name="_Hlk59031654"/>
      <w:r w:rsidRPr="00A55074">
        <w:t>W przypadku zmiany Regulaminu, PFRON zamieści na swojej stronie internetowej: informację o zmianie, aktualną treść Regulaminu, opis oraz uzasadnienie zmian i termin, od którego zmiana obowiązuje. Jednocześnie informacja o dokonaniu zmian zostanie przekazana Wnioskodawcom poprzez Generator wniosków.</w:t>
      </w:r>
      <w:bookmarkEnd w:id="6"/>
      <w:r w:rsidRPr="00A55074">
        <w:t>”.</w:t>
      </w:r>
    </w:p>
    <w:p w14:paraId="3CA46DB1" w14:textId="77777777" w:rsidR="00A55074" w:rsidRPr="00A55074" w:rsidRDefault="00A55074" w:rsidP="00A55074">
      <w:pPr>
        <w:ind w:left="426"/>
        <w:rPr>
          <w:b/>
          <w:bCs/>
        </w:rPr>
      </w:pPr>
    </w:p>
    <w:p w14:paraId="6596FDB7" w14:textId="088E77A2" w:rsidR="00A55074" w:rsidRPr="00A55074" w:rsidRDefault="00A55074" w:rsidP="00F1087B">
      <w:pPr>
        <w:pStyle w:val="Nagwek2"/>
      </w:pPr>
      <w:r w:rsidRPr="00A55074">
        <w:t xml:space="preserve">W załączniku nr 4 do Regulaminu konkursu grantowego dla jednostek samorządu terytorialnego „Wytyczne do przygotowania przez wnioskodawców kompleksowej koncepcji transportu osób z potrzebą wsparcia w zakresie mobilności” </w:t>
      </w:r>
      <w:r w:rsidR="00DB638E">
        <w:t>:</w:t>
      </w:r>
      <w:r w:rsidRPr="00A55074">
        <w:t xml:space="preserve"> </w:t>
      </w:r>
    </w:p>
    <w:p w14:paraId="76E95B1E" w14:textId="7FA6CF3B" w:rsidR="00A55074" w:rsidRPr="00A55074" w:rsidRDefault="00DB638E" w:rsidP="00A55074">
      <w:pPr>
        <w:numPr>
          <w:ilvl w:val="1"/>
          <w:numId w:val="8"/>
        </w:numPr>
      </w:pPr>
      <w:r w:rsidRPr="00A55074">
        <w:t>we „Wprowadzeniu”:</w:t>
      </w:r>
      <w:r>
        <w:t xml:space="preserve"> </w:t>
      </w:r>
      <w:r w:rsidR="00A55074" w:rsidRPr="00A55074">
        <w:t>akapit rozpoczynający się wyrażeniem: „Koncepcja transportu osób z potrzebą wsparcia (…)” otrzymuje brzmienie: „Koncepcja transportu osób z potrzebą wsparcia w zakresie mobilności będzie stanowiła obowiązkowy element treści wniosku JST o dofinansowanie usług door-to-door, składanego w ramach konkursu ogłoszonego przez PFRON i będzie brana pod uwagę przez ekspertów przy ocenie wniosków o dofinansowanie. Zatwierdzony dokument JST będzie musiała przedłożyć do PFRON.”;</w:t>
      </w:r>
    </w:p>
    <w:p w14:paraId="0FE778A6" w14:textId="5E91C6C6" w:rsidR="00A55074" w:rsidRDefault="00A55074" w:rsidP="00A55074">
      <w:pPr>
        <w:numPr>
          <w:ilvl w:val="1"/>
          <w:numId w:val="8"/>
        </w:numPr>
      </w:pPr>
      <w:r w:rsidRPr="00A55074">
        <w:t>akapit rozpoczynający się wyrażeniem: „</w:t>
      </w:r>
      <w:r w:rsidRPr="00A55074">
        <w:rPr>
          <w:iCs/>
        </w:rPr>
        <w:t xml:space="preserve">Wytyczne nie określają formuły prawnej (…)” </w:t>
      </w:r>
      <w:r w:rsidRPr="00A55074">
        <w:t xml:space="preserve">otrzymuje brzmienie: </w:t>
      </w:r>
      <w:r w:rsidRPr="00A55074">
        <w:rPr>
          <w:i/>
        </w:rPr>
        <w:t>„</w:t>
      </w:r>
      <w:r w:rsidRPr="00A55074">
        <w:rPr>
          <w:iCs/>
        </w:rPr>
        <w:t>Wytyczne nie określają formuły prawnej przyjęcia przez jednostkę samorządu terytorialnego Koncepcji transportu. Decyzję w tym zakresie podejmuje jednostka samorządu terytorialnego, z uwzględnieniem wymogów obowiązującego prawa i stosowanej w danej jednostce praktyki. Ważne jest by Koncepcja transportu</w:t>
      </w:r>
      <w:r w:rsidRPr="00A55074">
        <w:rPr>
          <w:b/>
          <w:iCs/>
        </w:rPr>
        <w:t xml:space="preserve"> </w:t>
      </w:r>
      <w:r w:rsidRPr="00A55074">
        <w:rPr>
          <w:iCs/>
        </w:rPr>
        <w:t>stanowiła</w:t>
      </w:r>
      <w:r w:rsidRPr="00A55074">
        <w:t>, pod względem formalno-prawnym, dokument obowiązujący na terenie objętym projektem (tj. terenie danej jednostki lub jednostek samorządu terytorialnego).”.</w:t>
      </w:r>
    </w:p>
    <w:p w14:paraId="10EE2A3A" w14:textId="77777777" w:rsidR="00A55074" w:rsidRPr="00A55074" w:rsidRDefault="00A55074" w:rsidP="00A55074"/>
    <w:p w14:paraId="0C24F7A2" w14:textId="77777777" w:rsidR="00A55074" w:rsidRPr="00DB638E" w:rsidRDefault="00A55074" w:rsidP="00F1087B">
      <w:pPr>
        <w:pStyle w:val="Nagwek2"/>
      </w:pPr>
      <w:r w:rsidRPr="00A55074">
        <w:t xml:space="preserve">W Załączniku nr 5 do Regulaminu konkursu grantowego dla jednostek samorządu terytorialnego </w:t>
      </w:r>
    </w:p>
    <w:p w14:paraId="3E0C35F9" w14:textId="19E1F29C" w:rsidR="00A55074" w:rsidRPr="00A55074" w:rsidRDefault="00A55074" w:rsidP="00F1087B">
      <w:pPr>
        <w:pStyle w:val="Nagwek2"/>
      </w:pPr>
      <w:r w:rsidRPr="00A55074">
        <w:t>„</w:t>
      </w:r>
      <w:bookmarkStart w:id="7" w:name="_Hlk59015483"/>
      <w:r w:rsidRPr="00A55074">
        <w:t>Minimalne wymogi w zakresie standardu usługi door-to-door</w:t>
      </w:r>
      <w:bookmarkEnd w:id="7"/>
      <w:r w:rsidRPr="00A55074">
        <w:t>”:</w:t>
      </w:r>
    </w:p>
    <w:p w14:paraId="757F57BD" w14:textId="77777777" w:rsidR="00A55074" w:rsidRPr="00A55074" w:rsidRDefault="00A55074" w:rsidP="00A55074">
      <w:pPr>
        <w:numPr>
          <w:ilvl w:val="0"/>
          <w:numId w:val="7"/>
        </w:numPr>
      </w:pPr>
      <w:r w:rsidRPr="00A55074">
        <w:t xml:space="preserve">w „Słowniku pojęć i skrótów” pojęcie Regulamin otrzymuje brzmienie: „Regulamin – Regulamin świadczenia usług transportowych door-to-door – obowiązkowy dokument w przypadku wdrożenia przez JST usług transportowych door-to door przyjmowany przez JST w formie uchwały organu wykonawczego - uchwały zarządu powiatu, a w przypadku gminy w formie zarządzenia wójta, burmistrza, prezydenta lub też w formie zarządzenia dyrektora jednostki organizacyjnej realizującej projekt. W przypadku, gdy wnioskodawcą będzie związek gmin lub związek powiatów, ww. zarządzenia/uchwały będą musiały być </w:t>
      </w:r>
      <w:r w:rsidRPr="00A55074">
        <w:lastRenderedPageBreak/>
        <w:t xml:space="preserve">przyjęte odpowiednio w każdej jednostce samorządu terytorialnego, na terenie której będą wdrażane usługi door-to-door.”; </w:t>
      </w:r>
    </w:p>
    <w:p w14:paraId="4500F228" w14:textId="6B094E8B" w:rsidR="00A55074" w:rsidRDefault="00A55074" w:rsidP="00A55074">
      <w:pPr>
        <w:numPr>
          <w:ilvl w:val="0"/>
          <w:numId w:val="7"/>
        </w:numPr>
      </w:pPr>
      <w:r w:rsidRPr="00A55074">
        <w:rPr>
          <w:bCs/>
        </w:rPr>
        <w:t>w pkt 4)</w:t>
      </w:r>
      <w:r w:rsidRPr="00A55074">
        <w:t xml:space="preserve"> </w:t>
      </w:r>
      <w:r w:rsidRPr="00A55074">
        <w:rPr>
          <w:bCs/>
        </w:rPr>
        <w:t>Opis sposobu realizacji usługi transportowej door-to-door” akapit rozpoczynający się wyrażeniem „Jednostka samorządu terytorialnego, która uzyska finansowanie (…)” otrzymuje brzmienie:</w:t>
      </w:r>
      <w:r w:rsidR="00DB638E">
        <w:rPr>
          <w:bCs/>
        </w:rPr>
        <w:t xml:space="preserve"> </w:t>
      </w:r>
      <w:r w:rsidRPr="00A55074">
        <w:t xml:space="preserve">„Jednostka samorządu terytorialnego, która uzyska finansowanie w ramach Projektu PFRON na wdrożenie usług transportowych door-to-door, będzie musiała przyjąć Regulamin świadczenia usług transportowych door-to-door w formie uchwały organu wykonawczego - uchwały zarządu powiatu, </w:t>
      </w:r>
      <w:r w:rsidRPr="00A55074">
        <w:br/>
        <w:t xml:space="preserve">a w przypadku gminy w formie zarządzenia wójta, burmistrza, prezydenta lub też w formie zarządzenia dyrektora jednostki organizacyjnej realizującej projekt. </w:t>
      </w:r>
      <w:r w:rsidRPr="00A55074">
        <w:br/>
        <w:t xml:space="preserve">W przypadku, gdy wnioskodawcą będzie związek gmin lub związek powiatów, ww. zarządzenia/uchwały będą musiały być przyjęte odpowiednio w każdej jednostce samorządu terytorialnego, na terenie której będą wdrażane usługi door-to-door.”; </w:t>
      </w:r>
    </w:p>
    <w:p w14:paraId="555C8B8F" w14:textId="77777777" w:rsidR="00A55074" w:rsidRPr="00A55074" w:rsidRDefault="00A55074" w:rsidP="00A55074">
      <w:pPr>
        <w:ind w:left="1069"/>
      </w:pPr>
    </w:p>
    <w:p w14:paraId="5056CF08" w14:textId="530E6A1A" w:rsidR="00A55074" w:rsidRPr="00DB638E" w:rsidRDefault="00A55074" w:rsidP="00F1087B">
      <w:pPr>
        <w:pStyle w:val="Nagwek2"/>
      </w:pPr>
      <w:r w:rsidRPr="00DB638E">
        <w:t xml:space="preserve">W załączniku nr 9 do Regulaminu konkursu grantowego dla jednostek samorządu terytorialnego „Wzór umowy o przyznanie grantu”: </w:t>
      </w:r>
    </w:p>
    <w:p w14:paraId="1CE9689B" w14:textId="77777777" w:rsidR="00A55074" w:rsidRPr="00A55074" w:rsidRDefault="00A55074" w:rsidP="00A55074">
      <w:pPr>
        <w:pStyle w:val="Akapitzlist"/>
        <w:ind w:left="426"/>
      </w:pPr>
    </w:p>
    <w:p w14:paraId="23D033FD" w14:textId="5AF123F0" w:rsidR="00A55074" w:rsidRPr="00A55074" w:rsidRDefault="00A55074" w:rsidP="0067641F">
      <w:pPr>
        <w:numPr>
          <w:ilvl w:val="1"/>
          <w:numId w:val="9"/>
        </w:numPr>
        <w:ind w:hanging="786"/>
      </w:pPr>
      <w:bookmarkStart w:id="8" w:name="_Hlk58422954"/>
      <w:r w:rsidRPr="00A55074">
        <w:t>tytuł umowy otrzymuje brzmienie: „Umowa nr… o realizację przez jednostkę samorządu terytorialnego projektu grantowego obejmującego wdrożenie usług transportowych door-to-door /i dokonania adaptacji architektonicznych</w:t>
      </w:r>
      <w:r w:rsidRPr="00A55074">
        <w:rPr>
          <w:vertAlign w:val="superscript"/>
        </w:rPr>
        <w:t>1</w:t>
      </w:r>
      <w:r w:rsidRPr="00A55074">
        <w:t xml:space="preserve"> dla osób z potrzebą wsparcia w zakresie mobilności”;</w:t>
      </w:r>
    </w:p>
    <w:p w14:paraId="056731BA" w14:textId="77777777" w:rsidR="00A55074" w:rsidRPr="00A55074" w:rsidRDefault="00A55074" w:rsidP="0067641F">
      <w:pPr>
        <w:numPr>
          <w:ilvl w:val="1"/>
          <w:numId w:val="9"/>
        </w:numPr>
        <w:ind w:hanging="786"/>
      </w:pPr>
      <w:r w:rsidRPr="00A55074">
        <w:t xml:space="preserve">po zapisie dotyczącym osób reprezentujących „Jednostkę samorządu” dodaje się zapis w brzmieniu: </w:t>
      </w:r>
      <w:r w:rsidRPr="00A55074">
        <w:br/>
        <w:t>„na podstawie pełnomocnictwa z dnia….. stanowiącego załącznik do niniejszej umowy</w:t>
      </w:r>
      <w:r w:rsidRPr="00A55074">
        <w:rPr>
          <w:vertAlign w:val="superscript"/>
        </w:rPr>
        <w:t>2</w:t>
      </w:r>
      <w:r w:rsidRPr="00A55074">
        <w:t>.”</w:t>
      </w:r>
      <w:bookmarkStart w:id="9" w:name="_Hlk59016229"/>
      <w:r w:rsidRPr="00A55074">
        <w:t>, oraz dodaje się przypis dolny numer 2 w brzmieniu: „</w:t>
      </w:r>
      <w:r w:rsidRPr="00A55074">
        <w:rPr>
          <w:vertAlign w:val="superscript"/>
        </w:rPr>
        <w:t>2</w:t>
      </w:r>
      <w:r w:rsidRPr="00A55074">
        <w:t>Niepotrzebne skreślić”;</w:t>
      </w:r>
    </w:p>
    <w:bookmarkEnd w:id="9"/>
    <w:p w14:paraId="7B7FD624" w14:textId="33AC3B5C" w:rsidR="00A55074" w:rsidRPr="00A55074" w:rsidRDefault="00A55074" w:rsidP="0067641F">
      <w:pPr>
        <w:numPr>
          <w:ilvl w:val="1"/>
          <w:numId w:val="9"/>
        </w:numPr>
        <w:ind w:hanging="786"/>
      </w:pPr>
      <w:r w:rsidRPr="00A55074">
        <w:t>w § 1 ust. 1 otrzymuje brzmienie:</w:t>
      </w:r>
      <w:r w:rsidR="0067641F">
        <w:t xml:space="preserve"> </w:t>
      </w:r>
      <w:r w:rsidRPr="00A55074">
        <w:t>„1.</w:t>
      </w:r>
      <w:r w:rsidRPr="00A55074">
        <w:tab/>
        <w:t>Przedmiotem umowy jest realizacja przez Jednostkę samorządu projektu grantowego obejmującego wdrożenie usług transportowych door-to-door /i dokonanie adaptacji architektonicznych</w:t>
      </w:r>
      <w:r w:rsidRPr="00A55074">
        <w:rPr>
          <w:vertAlign w:val="superscript"/>
        </w:rPr>
        <w:t>3</w:t>
      </w:r>
      <w:r w:rsidRPr="00A55074">
        <w:t xml:space="preserve"> dla osób z potrzebą wsparcia </w:t>
      </w:r>
      <w:r w:rsidRPr="00A55074">
        <w:br/>
        <w:t>w zakresie mobilności (zwany dalej: „projektem”) określonego we wniosku o przyznanie grantu, złożonym przez Jednostkę samorządu nr ….. stanowiącym załącznik do niniejszej umowy (dalej: „wniosek”).”, oraz dodaje się przypis dolny numer 3 w brzmieniu: „</w:t>
      </w:r>
      <w:r w:rsidRPr="00A55074">
        <w:rPr>
          <w:vertAlign w:val="superscript"/>
        </w:rPr>
        <w:t>3</w:t>
      </w:r>
      <w:r w:rsidRPr="00A55074">
        <w:t>Niepotrzebne skreślić”;</w:t>
      </w:r>
    </w:p>
    <w:p w14:paraId="51FB9DD2" w14:textId="0759956B" w:rsidR="00A55074" w:rsidRPr="00A55074" w:rsidRDefault="00A55074" w:rsidP="0067641F">
      <w:pPr>
        <w:numPr>
          <w:ilvl w:val="1"/>
          <w:numId w:val="9"/>
        </w:numPr>
        <w:ind w:hanging="786"/>
      </w:pPr>
      <w:r w:rsidRPr="00A55074">
        <w:t>w § 2:</w:t>
      </w:r>
      <w:r w:rsidR="0067641F">
        <w:t xml:space="preserve"> </w:t>
      </w:r>
      <w:r w:rsidRPr="00A55074">
        <w:t>a)</w:t>
      </w:r>
      <w:r w:rsidRPr="00A55074">
        <w:tab/>
        <w:t>ust. 1 otrzymuje brzmienie: „1.</w:t>
      </w:r>
      <w:r w:rsidRPr="00A55074">
        <w:tab/>
        <w:t>Na warunkach określonych w umowie, PFRON przyznaje Jednostce samorządu finansowanie na realizację projektu, a Jednostka samorządu zobowiązuje się do realizacji projektu zgodnie z wnioskiem. Projekt będzie realizowany przez</w:t>
      </w:r>
      <w:r w:rsidRPr="00A55074">
        <w:rPr>
          <w:vertAlign w:val="superscript"/>
        </w:rPr>
        <w:t xml:space="preserve"> 4</w:t>
      </w:r>
      <w:r w:rsidRPr="00A55074">
        <w:t>: ……” oraz dodaje się przypis dolny numer 4 w brzmieniu: „</w:t>
      </w:r>
      <w:r w:rsidRPr="00A55074">
        <w:rPr>
          <w:vertAlign w:val="superscript"/>
        </w:rPr>
        <w:t>4</w:t>
      </w:r>
      <w:r w:rsidRPr="00A55074">
        <w:t> Wypełnić w przypadku realizacji projektu przez jednostkę organizacyjną jednostki samorządu terytorialnego.”;</w:t>
      </w:r>
    </w:p>
    <w:p w14:paraId="3CE2550F" w14:textId="4CF6DAED" w:rsidR="00A55074" w:rsidRPr="00A55074" w:rsidRDefault="0067641F" w:rsidP="0067641F">
      <w:pPr>
        <w:ind w:left="1701" w:hanging="141"/>
      </w:pPr>
      <w:r>
        <w:t xml:space="preserve">   </w:t>
      </w:r>
      <w:r w:rsidR="00A55074" w:rsidRPr="00A55074">
        <w:t>b)</w:t>
      </w:r>
      <w:r>
        <w:t xml:space="preserve"> </w:t>
      </w:r>
      <w:r w:rsidR="00A55074" w:rsidRPr="00A55074">
        <w:t xml:space="preserve">skreśla się ust. 7; </w:t>
      </w:r>
    </w:p>
    <w:p w14:paraId="51E5FD22" w14:textId="77777777" w:rsidR="00A55074" w:rsidRPr="00A55074" w:rsidRDefault="00A55074" w:rsidP="0067641F">
      <w:pPr>
        <w:numPr>
          <w:ilvl w:val="1"/>
          <w:numId w:val="9"/>
        </w:numPr>
        <w:ind w:hanging="786"/>
      </w:pPr>
      <w:r w:rsidRPr="00A55074">
        <w:t xml:space="preserve">w § 3: </w:t>
      </w:r>
    </w:p>
    <w:p w14:paraId="6CD032AF" w14:textId="77777777" w:rsidR="0067641F" w:rsidRDefault="0067641F" w:rsidP="0067641F">
      <w:pPr>
        <w:ind w:left="1701"/>
      </w:pPr>
      <w:r>
        <w:t xml:space="preserve">a) </w:t>
      </w:r>
      <w:r w:rsidR="00A55074" w:rsidRPr="00A55074">
        <w:t>ust. 1 i 2 otrzymują brzmienie: „1.</w:t>
      </w:r>
      <w:r w:rsidR="00A55074" w:rsidRPr="00A55074">
        <w:tab/>
        <w:t xml:space="preserve">PFRON przeznacza na realizację projektu przez Jednostkę samorządu środki finansowe do łącznej wysokości ..............zł (słownie: …………..) </w:t>
      </w:r>
      <w:r w:rsidR="00A55074" w:rsidRPr="00A55074">
        <w:br/>
        <w:t xml:space="preserve">w następujących transzach: pierwsza transza w wysokości …… zł (słownie: ……) płatna do 30 dni kalendarzowych po podpisaniu umowy, druga transza w wysokości …… zł (słownie:……) płatna do 30 dni kalendarzowych po zatwierdzeniu </w:t>
      </w:r>
      <w:r w:rsidR="00A55074" w:rsidRPr="00A55074">
        <w:lastRenderedPageBreak/>
        <w:t xml:space="preserve">przez PFRON sprawozdania i rozliczenia potwierdzającego poniesienie wydatków kwalifikowalnych </w:t>
      </w:r>
      <w:r w:rsidR="00A55074" w:rsidRPr="00A55074">
        <w:br/>
        <w:t>w wysokości 60% kwoty pierwszej transzy oraz trzecia transza w formie refundacji płatna do 30 dni kalendarzowych po zatwierdzeniu przez PFRON sprawozdania i rozliczenia końcowego Jednostki samorządu.</w:t>
      </w:r>
      <w:r w:rsidR="00A55074" w:rsidRPr="00A55074" w:rsidDel="00067F56">
        <w:t xml:space="preserve"> </w:t>
      </w:r>
      <w:r w:rsidR="00A55074" w:rsidRPr="00A55074">
        <w:t>Warunkiem płatności transz jest dostępność środków w planie finansowym PFRON.”;</w:t>
      </w:r>
      <w:r>
        <w:t xml:space="preserve"> </w:t>
      </w:r>
    </w:p>
    <w:p w14:paraId="5B86D6D3" w14:textId="15EAD3E8" w:rsidR="00A55074" w:rsidRPr="00A55074" w:rsidRDefault="00A55074" w:rsidP="0067641F">
      <w:pPr>
        <w:ind w:left="1701"/>
      </w:pPr>
      <w:r w:rsidRPr="00A55074">
        <w:t>2.</w:t>
      </w:r>
      <w:r w:rsidR="0067641F">
        <w:t xml:space="preserve"> </w:t>
      </w:r>
      <w:r w:rsidRPr="00A55074">
        <w:t xml:space="preserve">Jednostka samorządu wydziela osobny rachunek bankowy </w:t>
      </w:r>
      <w:bookmarkStart w:id="10" w:name="_Hlk58503536"/>
      <w:bookmarkStart w:id="11" w:name="_Hlk58503558"/>
      <w:r w:rsidRPr="00A55074">
        <w:t>dla projektu o nr</w:t>
      </w:r>
      <w:bookmarkEnd w:id="10"/>
      <w:r w:rsidRPr="00A55074">
        <w:t>………………………</w:t>
      </w:r>
      <w:bookmarkEnd w:id="11"/>
      <w:r w:rsidRPr="00A55074">
        <w:t>…, w celu zapewnienia ewidencji księgowej dla środków pozyskanych z PFRON, w ramach realizacji niniejszej umowy. Jednostka samorządu nie może</w:t>
      </w:r>
      <w:r w:rsidRPr="00A55074">
        <w:rPr>
          <w:i/>
        </w:rPr>
        <w:t xml:space="preserve"> </w:t>
      </w:r>
      <w:r w:rsidRPr="00A55074">
        <w:t>przeznaczać otrzymanych transz finansowania na cele inne niż związane z projektem. W przypadku przeznaczenia środków na inne cele stosuje się § 8.</w:t>
      </w:r>
      <w:bookmarkStart w:id="12" w:name="_Hlk58920752"/>
      <w:r w:rsidRPr="00A55074">
        <w:t>”;</w:t>
      </w:r>
      <w:bookmarkEnd w:id="12"/>
    </w:p>
    <w:p w14:paraId="28D63BB8" w14:textId="2BB118E3" w:rsidR="00A55074" w:rsidRPr="00A55074" w:rsidRDefault="00A55074" w:rsidP="0067641F">
      <w:pPr>
        <w:pStyle w:val="Akapitzlist"/>
        <w:numPr>
          <w:ilvl w:val="2"/>
          <w:numId w:val="5"/>
        </w:numPr>
        <w:ind w:left="1701" w:hanging="283"/>
      </w:pPr>
      <w:r w:rsidRPr="00A55074">
        <w:t>po ust. 2 dodaje ust. 3 w brzmieniu:„3.Jednostka samorządu przekazuje</w:t>
      </w:r>
      <w:r w:rsidR="0067641F">
        <w:t xml:space="preserve"> </w:t>
      </w:r>
      <w:r w:rsidRPr="00A55074">
        <w:t>środki PFRON jednostce organizacyjnej realizującej projekt (pełna nazwa jednostki organizacyjnej /adres jednostki organizacyjnej, NIP, REGON) na wydzielony rachunek bankowy o nr ………………. Postanowienia ust. 2 niniejszego paragrafu stosuje się odpowiednio.</w:t>
      </w:r>
      <w:r w:rsidRPr="0067641F">
        <w:rPr>
          <w:vertAlign w:val="superscript"/>
        </w:rPr>
        <w:t>5</w:t>
      </w:r>
      <w:r w:rsidRPr="00A55074">
        <w:t>” oraz dodaje się przypis dolny numer 5 w brzmieniu: „</w:t>
      </w:r>
      <w:r w:rsidRPr="0067641F">
        <w:rPr>
          <w:vertAlign w:val="superscript"/>
        </w:rPr>
        <w:t>5</w:t>
      </w:r>
      <w:r w:rsidRPr="00A55074">
        <w:t>Gdy nie dotyczy skreślić pkt. 3.”;</w:t>
      </w:r>
    </w:p>
    <w:p w14:paraId="3DBDD96F" w14:textId="77777777" w:rsidR="00A55074" w:rsidRPr="00A55074" w:rsidRDefault="00A55074" w:rsidP="003C1F90">
      <w:pPr>
        <w:numPr>
          <w:ilvl w:val="1"/>
          <w:numId w:val="9"/>
        </w:numPr>
        <w:ind w:left="1701" w:hanging="850"/>
      </w:pPr>
      <w:r w:rsidRPr="00A55074">
        <w:t xml:space="preserve">w § 4: </w:t>
      </w:r>
    </w:p>
    <w:p w14:paraId="6166D38E" w14:textId="4B35D365" w:rsidR="00A55074" w:rsidRPr="00A55074" w:rsidRDefault="00A55074" w:rsidP="003C1F90">
      <w:pPr>
        <w:numPr>
          <w:ilvl w:val="0"/>
          <w:numId w:val="13"/>
        </w:numPr>
        <w:ind w:left="1701" w:hanging="283"/>
      </w:pPr>
      <w:r w:rsidRPr="00A55074">
        <w:t>w ust.1 po pkt. 11 kropkę zastępuje się średnikiem i dodaje się pkt. 12 w brzmieniu: „12)</w:t>
      </w:r>
      <w:r>
        <w:t xml:space="preserve"> </w:t>
      </w:r>
      <w:r w:rsidRPr="00A55074">
        <w:t>przekazania do PFRON przyjętej przez jednostkę „Kompleksowej koncepcji organizacji transportu osób z potrzebą wsparcia w zakresie mobilności” w formie dokumentu obowiązującego na terenie objętym projektem, w ciągu 90 dni kalendarzowych od dnia zawarcia umowy, jednak nie później niż w dniu poprzedzającym rozpoczęcie świadczenia usług door-to-door.”;</w:t>
      </w:r>
    </w:p>
    <w:p w14:paraId="031CEAA9" w14:textId="77777777" w:rsidR="0067641F" w:rsidRDefault="00A55074" w:rsidP="003C1F90">
      <w:pPr>
        <w:numPr>
          <w:ilvl w:val="0"/>
          <w:numId w:val="13"/>
        </w:numPr>
        <w:ind w:left="1701" w:hanging="283"/>
      </w:pPr>
      <w:r w:rsidRPr="00A55074">
        <w:t>po ust. 1 dodaje się ust.2 i ust. 3 w brzmieniu: „2.W przypadku gdy</w:t>
      </w:r>
      <w:r w:rsidR="0067641F">
        <w:t xml:space="preserve"> </w:t>
      </w:r>
      <w:r w:rsidRPr="00A55074">
        <w:t>realizatorem Projektu jest Jednostka organizacyjna, Jednostka samorządu sprawuje stały nadzór nad przestrzeganiem zasad realizacji projektu wskazanych w ust. 1 pkt.1 do 10 przez Jednostkę organizacyjną.</w:t>
      </w:r>
      <w:r w:rsidR="0067641F">
        <w:t xml:space="preserve"> </w:t>
      </w:r>
      <w:r w:rsidRPr="00A55074">
        <w:t>3.</w:t>
      </w:r>
      <w:r w:rsidR="0067641F">
        <w:t xml:space="preserve"> </w:t>
      </w:r>
      <w:r w:rsidRPr="00A55074">
        <w:t>Jednostka samorządu zobowiązuje się do powiadomienia realizatora Projektu o warunkach realizacji Projektu wynikających z niniejszej umowy.”;</w:t>
      </w:r>
    </w:p>
    <w:p w14:paraId="5EC7481F" w14:textId="369C77EA" w:rsidR="0067641F" w:rsidRDefault="00A55074" w:rsidP="003C1F90">
      <w:pPr>
        <w:pStyle w:val="Akapitzlist"/>
        <w:numPr>
          <w:ilvl w:val="1"/>
          <w:numId w:val="9"/>
        </w:numPr>
        <w:ind w:left="1701" w:hanging="850"/>
      </w:pPr>
      <w:r w:rsidRPr="00A55074">
        <w:t>w § 10 ust. 5 otrzymuje brzmienie: „5.Strony ustalają, iż prawidłowo zaadresowana korespondencja, która pomimo dwukrotnego awizowania nie zostanie odebrana, uznawana będzie przez strony za doręczoną. Strony ustalają, iż adresami do korespondencji są: adres siedziby PFRON tj. ……................................. oraz adres Jednostki samorządu lub/i realizującej projekt jednostki organizacyjnej</w:t>
      </w:r>
      <w:r w:rsidRPr="0067641F">
        <w:rPr>
          <w:vertAlign w:val="superscript"/>
        </w:rPr>
        <w:t xml:space="preserve">6 </w:t>
      </w:r>
      <w:r w:rsidRPr="00A55074">
        <w:t>tj. …………………… .” oraz dodaje się dodaje się przypis dolny numer 6 w brzmieniu: „</w:t>
      </w:r>
      <w:r w:rsidRPr="0067641F">
        <w:rPr>
          <w:vertAlign w:val="superscript"/>
        </w:rPr>
        <w:t xml:space="preserve">6 </w:t>
      </w:r>
      <w:r w:rsidRPr="00A55074">
        <w:t>Niepotrzebne skreślić”;</w:t>
      </w:r>
    </w:p>
    <w:p w14:paraId="1AEB7A93" w14:textId="77777777" w:rsidR="00E54392" w:rsidRDefault="00E54392" w:rsidP="00E54392"/>
    <w:p w14:paraId="29C1A78D" w14:textId="73BE18B8" w:rsidR="00A55074" w:rsidRPr="00A55074" w:rsidRDefault="00A55074" w:rsidP="003C1F90">
      <w:pPr>
        <w:pStyle w:val="Akapitzlist"/>
        <w:numPr>
          <w:ilvl w:val="1"/>
          <w:numId w:val="9"/>
        </w:numPr>
        <w:ind w:left="1701" w:hanging="850"/>
      </w:pPr>
      <w:r w:rsidRPr="00A55074">
        <w:t xml:space="preserve">w § 12 ust. 1 otrzymuje brzmienie: </w:t>
      </w:r>
    </w:p>
    <w:p w14:paraId="05458ADE" w14:textId="77777777" w:rsidR="00A55074" w:rsidRPr="00A55074" w:rsidRDefault="00A55074" w:rsidP="0067641F">
      <w:pPr>
        <w:ind w:left="2127" w:hanging="426"/>
      </w:pPr>
      <w:r w:rsidRPr="00A55074">
        <w:t>„1.</w:t>
      </w:r>
      <w:r w:rsidRPr="00A55074">
        <w:tab/>
        <w:t>Zmiany umowy wymagają formy pisemnej pod rygorem nieważności. Zmiany potwierdzone kwalifikowanym podpisem elektronicznym uznaje się za dokonane w formie pisemnej. Załączniki do umowy stanowią integralną część umowy.”;</w:t>
      </w:r>
    </w:p>
    <w:p w14:paraId="3D359920" w14:textId="3EBE03C5" w:rsidR="00A55074" w:rsidRPr="00A55074" w:rsidRDefault="00A55074" w:rsidP="003C1F90">
      <w:pPr>
        <w:numPr>
          <w:ilvl w:val="1"/>
          <w:numId w:val="9"/>
        </w:numPr>
        <w:ind w:left="1701" w:hanging="709"/>
      </w:pPr>
      <w:r w:rsidRPr="00A55074">
        <w:t>wykaz „Załączników” do umowy otrzymuje brzmienie:</w:t>
      </w:r>
      <w:r w:rsidR="0067641F">
        <w:t xml:space="preserve"> </w:t>
      </w:r>
      <w:r w:rsidRPr="00A55074">
        <w:t>„Załączniki:</w:t>
      </w:r>
    </w:p>
    <w:p w14:paraId="4C40404F" w14:textId="77777777" w:rsidR="00A55074" w:rsidRPr="00A55074" w:rsidRDefault="00A55074" w:rsidP="00A55074">
      <w:pPr>
        <w:numPr>
          <w:ilvl w:val="0"/>
          <w:numId w:val="10"/>
        </w:numPr>
      </w:pPr>
      <w:r w:rsidRPr="00A55074">
        <w:t>Wniosek Jednostki samorządu o przyznanie grantu.</w:t>
      </w:r>
    </w:p>
    <w:p w14:paraId="57EFEED0" w14:textId="77777777" w:rsidR="00A55074" w:rsidRPr="00A55074" w:rsidRDefault="00A55074" w:rsidP="00A55074">
      <w:pPr>
        <w:numPr>
          <w:ilvl w:val="0"/>
          <w:numId w:val="10"/>
        </w:numPr>
      </w:pPr>
      <w:r w:rsidRPr="00A55074">
        <w:t>Projekt Regulaminu świadczenia usług transportowych door-to-door.</w:t>
      </w:r>
    </w:p>
    <w:p w14:paraId="2AA992C8" w14:textId="77777777" w:rsidR="00A55074" w:rsidRPr="00A55074" w:rsidRDefault="00A55074" w:rsidP="00A55074">
      <w:pPr>
        <w:numPr>
          <w:ilvl w:val="0"/>
          <w:numId w:val="10"/>
        </w:numPr>
      </w:pPr>
      <w:r w:rsidRPr="00A55074">
        <w:lastRenderedPageBreak/>
        <w:t>Pełnomocnictwo dla osób reprezentujących JST, które są upoważnione do podpisania umowy o finansowanie, w przypadku, gdy są to osoby inne niż osoby ją reprezentujące.</w:t>
      </w:r>
    </w:p>
    <w:p w14:paraId="4670C7BD" w14:textId="77777777" w:rsidR="00A55074" w:rsidRPr="00A55074" w:rsidRDefault="00A55074" w:rsidP="00A55074">
      <w:pPr>
        <w:numPr>
          <w:ilvl w:val="0"/>
          <w:numId w:val="10"/>
        </w:numPr>
      </w:pPr>
      <w:r w:rsidRPr="00A55074">
        <w:t>Pełnomocnictwa dla JST do zawarcia w imieniu partnera umowy o finansowanie projektu.</w:t>
      </w:r>
    </w:p>
    <w:p w14:paraId="6FAB89A1" w14:textId="77777777" w:rsidR="00A55074" w:rsidRPr="00A55074" w:rsidRDefault="00A55074" w:rsidP="00A55074">
      <w:pPr>
        <w:numPr>
          <w:ilvl w:val="0"/>
          <w:numId w:val="10"/>
        </w:numPr>
      </w:pPr>
      <w:r w:rsidRPr="00A55074">
        <w:t>Oświadczenie o kwalifikowalności VAT, niezalegania z opłatami na rzecz PFRON, ZUS, US.”.</w:t>
      </w:r>
    </w:p>
    <w:bookmarkEnd w:id="8"/>
    <w:p w14:paraId="5AD96B7B" w14:textId="22CBDBE1" w:rsidR="002A4718" w:rsidRDefault="002A4718"/>
    <w:sectPr w:rsidR="002A4718" w:rsidSect="00DC39CA">
      <w:headerReference w:type="default" r:id="rId7"/>
      <w:footerReference w:type="default" r:id="rId8"/>
      <w:pgSz w:w="11906" w:h="16838"/>
      <w:pgMar w:top="2114" w:right="1417" w:bottom="284" w:left="1417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A5970" w14:textId="77777777" w:rsidR="00EC0ADB" w:rsidRDefault="00EC0ADB" w:rsidP="00184153">
      <w:r>
        <w:separator/>
      </w:r>
    </w:p>
  </w:endnote>
  <w:endnote w:type="continuationSeparator" w:id="0">
    <w:p w14:paraId="44360808" w14:textId="77777777" w:rsidR="00EC0ADB" w:rsidRDefault="00EC0ADB" w:rsidP="001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88BD6" w14:textId="4668E8E6" w:rsidR="00184153" w:rsidRDefault="00184153">
    <w:pPr>
      <w:pStyle w:val="Stopka"/>
    </w:pPr>
    <w:r>
      <w:rPr>
        <w:noProof/>
      </w:rPr>
      <w:drawing>
        <wp:inline distT="0" distB="0" distL="0" distR="0" wp14:anchorId="22AA9A96" wp14:editId="66FB012C">
          <wp:extent cx="1706880" cy="902335"/>
          <wp:effectExtent l="0" t="0" r="7620" b="0"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CF605" w14:textId="77777777" w:rsidR="00EC0ADB" w:rsidRDefault="00EC0ADB" w:rsidP="00184153">
      <w:r>
        <w:separator/>
      </w:r>
    </w:p>
  </w:footnote>
  <w:footnote w:type="continuationSeparator" w:id="0">
    <w:p w14:paraId="6FB587DF" w14:textId="77777777" w:rsidR="00EC0ADB" w:rsidRDefault="00EC0ADB" w:rsidP="0018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3C494" w14:textId="61EB8570" w:rsidR="00184153" w:rsidRPr="00184153" w:rsidRDefault="00184153" w:rsidP="00184153">
    <w:pPr>
      <w:pStyle w:val="Nagwek"/>
    </w:pPr>
  </w:p>
  <w:p w14:paraId="19464C85" w14:textId="3BD7D29A" w:rsidR="00184153" w:rsidRPr="000B5E87" w:rsidRDefault="00184153">
    <w:pPr>
      <w:pStyle w:val="Nagwek"/>
    </w:pPr>
    <w:r w:rsidRPr="00184153">
      <w:rPr>
        <w:noProof/>
      </w:rPr>
      <w:drawing>
        <wp:inline distT="0" distB="0" distL="0" distR="0" wp14:anchorId="7B2BBCEB" wp14:editId="57FB6BE5">
          <wp:extent cx="5756910" cy="731520"/>
          <wp:effectExtent l="0" t="0" r="0" b="0"/>
          <wp:docPr id="103" name="Obraz 103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E628D" w14:textId="61B729B2" w:rsidR="00DC39CA" w:rsidRDefault="00184153" w:rsidP="000B5E87">
    <w:pPr>
      <w:pStyle w:val="Nagwek"/>
      <w:pBdr>
        <w:bottom w:val="single" w:sz="6" w:space="1" w:color="auto"/>
      </w:pBdr>
      <w:jc w:val="center"/>
      <w:rPr>
        <w:i/>
      </w:rPr>
    </w:pPr>
    <w:r w:rsidRPr="00184153">
      <w:rPr>
        <w:i/>
      </w:rPr>
      <w:t>Usługi indywidualnego transportu door-to-door oraz poprawa dostępności architektonicznej wielorodzinnych budynków mieszkalnych</w:t>
    </w:r>
  </w:p>
  <w:p w14:paraId="0A45C6F2" w14:textId="77777777" w:rsidR="00DC39CA" w:rsidRDefault="00DC3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93440"/>
    <w:multiLevelType w:val="hybridMultilevel"/>
    <w:tmpl w:val="9894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956"/>
    <w:multiLevelType w:val="hybridMultilevel"/>
    <w:tmpl w:val="5C4EAB1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E4E3FA8"/>
    <w:multiLevelType w:val="hybridMultilevel"/>
    <w:tmpl w:val="809C87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4B7AC3"/>
    <w:multiLevelType w:val="hybridMultilevel"/>
    <w:tmpl w:val="AAD2E614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272B4D"/>
    <w:multiLevelType w:val="hybridMultilevel"/>
    <w:tmpl w:val="588C79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A25AA"/>
    <w:multiLevelType w:val="multilevel"/>
    <w:tmpl w:val="3C0851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8E5606"/>
    <w:multiLevelType w:val="hybridMultilevel"/>
    <w:tmpl w:val="E088401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660B96"/>
    <w:multiLevelType w:val="hybridMultilevel"/>
    <w:tmpl w:val="6540AF34"/>
    <w:lvl w:ilvl="0" w:tplc="03145C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E8E7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D0E1D7A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C27D7"/>
    <w:multiLevelType w:val="hybridMultilevel"/>
    <w:tmpl w:val="18F4C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AB9"/>
    <w:multiLevelType w:val="hybridMultilevel"/>
    <w:tmpl w:val="6C185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AACE9C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  <w:bCs w:val="0"/>
      </w:rPr>
    </w:lvl>
    <w:lvl w:ilvl="2" w:tplc="33FEE8F2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2C99"/>
    <w:multiLevelType w:val="hybridMultilevel"/>
    <w:tmpl w:val="6C70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4071E"/>
    <w:multiLevelType w:val="hybridMultilevel"/>
    <w:tmpl w:val="7F52E48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72253F1B"/>
    <w:multiLevelType w:val="hybridMultilevel"/>
    <w:tmpl w:val="210A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B1"/>
    <w:rsid w:val="00027673"/>
    <w:rsid w:val="000B5E87"/>
    <w:rsid w:val="000B63FD"/>
    <w:rsid w:val="00184153"/>
    <w:rsid w:val="002A4718"/>
    <w:rsid w:val="003C1F90"/>
    <w:rsid w:val="004A7A1A"/>
    <w:rsid w:val="004E7B8C"/>
    <w:rsid w:val="00562FAF"/>
    <w:rsid w:val="00580129"/>
    <w:rsid w:val="005906DA"/>
    <w:rsid w:val="0067641F"/>
    <w:rsid w:val="0074005E"/>
    <w:rsid w:val="008043A4"/>
    <w:rsid w:val="008110DC"/>
    <w:rsid w:val="00894796"/>
    <w:rsid w:val="00996EB1"/>
    <w:rsid w:val="00A55074"/>
    <w:rsid w:val="00AE1DEF"/>
    <w:rsid w:val="00B25DEB"/>
    <w:rsid w:val="00BA69BD"/>
    <w:rsid w:val="00CA5D1F"/>
    <w:rsid w:val="00CD68C0"/>
    <w:rsid w:val="00DB638E"/>
    <w:rsid w:val="00DC39CA"/>
    <w:rsid w:val="00E54392"/>
    <w:rsid w:val="00EC0ADB"/>
    <w:rsid w:val="00EF3FC2"/>
    <w:rsid w:val="00F1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F6E6"/>
  <w15:chartTrackingRefBased/>
  <w15:docId w15:val="{B2FD99D4-66A9-4EEF-AF72-33780C76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C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D68C0"/>
    <w:pPr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1087B"/>
    <w:pPr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41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153"/>
  </w:style>
  <w:style w:type="paragraph" w:styleId="Stopka">
    <w:name w:val="footer"/>
    <w:basedOn w:val="Normalny"/>
    <w:link w:val="StopkaZnak"/>
    <w:uiPriority w:val="99"/>
    <w:unhideWhenUsed/>
    <w:rsid w:val="001841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153"/>
  </w:style>
  <w:style w:type="paragraph" w:styleId="Akapitzlist">
    <w:name w:val="List Paragraph"/>
    <w:aliases w:val="maz_wyliczenie,opis dzialania,K-P_odwolanie,A_wyliczenie,Akapit z listą 1,L1,Numerowanie,List Paragraph,CW_Lista,Table of contents numbered,Akapit z listą5,BulletC,Wyliczanie,Obiekt,normalny tekst,Akapit z listą31,Bullets,List Paragraph1"/>
    <w:basedOn w:val="Normalny"/>
    <w:link w:val="AkapitzlistZnak"/>
    <w:uiPriority w:val="34"/>
    <w:qFormat/>
    <w:rsid w:val="00DC39CA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able of contents numbered Znak,Akapit z listą5 Znak,BulletC Znak"/>
    <w:link w:val="Akapitzlist"/>
    <w:uiPriority w:val="34"/>
    <w:qFormat/>
    <w:rsid w:val="00DC39CA"/>
  </w:style>
  <w:style w:type="paragraph" w:customStyle="1" w:styleId="Default">
    <w:name w:val="Default"/>
    <w:rsid w:val="00DC3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68C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0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1861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Milewska-Podgrudna Anna</dc:creator>
  <cp:keywords/>
  <dc:description/>
  <cp:lastModifiedBy>Szymańska Karolina</cp:lastModifiedBy>
  <cp:revision>11</cp:revision>
  <cp:lastPrinted>2019-11-15T13:27:00Z</cp:lastPrinted>
  <dcterms:created xsi:type="dcterms:W3CDTF">2020-12-17T15:05:00Z</dcterms:created>
  <dcterms:modified xsi:type="dcterms:W3CDTF">2020-12-22T13:15:00Z</dcterms:modified>
</cp:coreProperties>
</file>