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B7" w:rsidRDefault="00EA4DDC" w:rsidP="00EA4D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444D">
        <w:rPr>
          <w:b/>
          <w:sz w:val="28"/>
          <w:szCs w:val="28"/>
        </w:rPr>
        <w:t xml:space="preserve">Założenia </w:t>
      </w:r>
      <w:r w:rsidR="00C06E91">
        <w:rPr>
          <w:b/>
          <w:sz w:val="28"/>
          <w:szCs w:val="28"/>
        </w:rPr>
        <w:t xml:space="preserve">pilotażowego </w:t>
      </w:r>
      <w:r w:rsidR="00407EC2">
        <w:rPr>
          <w:b/>
          <w:sz w:val="28"/>
          <w:szCs w:val="28"/>
        </w:rPr>
        <w:t>k</w:t>
      </w:r>
      <w:r w:rsidRPr="0023444D">
        <w:rPr>
          <w:b/>
          <w:sz w:val="28"/>
          <w:szCs w:val="28"/>
        </w:rPr>
        <w:t xml:space="preserve">onkursu </w:t>
      </w:r>
      <w:r w:rsidR="000F39B7">
        <w:rPr>
          <w:b/>
          <w:sz w:val="28"/>
          <w:szCs w:val="28"/>
        </w:rPr>
        <w:t>dla organizacji pozarządowych</w:t>
      </w:r>
    </w:p>
    <w:p w:rsidR="000F39B7" w:rsidRDefault="00407EC2" w:rsidP="00EA4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pn.</w:t>
      </w:r>
      <w:r w:rsidR="007C20BB">
        <w:rPr>
          <w:b/>
          <w:sz w:val="28"/>
          <w:szCs w:val="28"/>
        </w:rPr>
        <w:t xml:space="preserve"> „Gotowi do pracy</w:t>
      </w:r>
      <w:r w:rsidR="00393D52">
        <w:rPr>
          <w:b/>
          <w:sz w:val="28"/>
          <w:szCs w:val="28"/>
        </w:rPr>
        <w:t xml:space="preserve"> –</w:t>
      </w:r>
      <w:r w:rsidR="007C20BB">
        <w:rPr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>łączenie</w:t>
      </w:r>
      <w:r w:rsidR="00393D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osób niepełnosprawnych w rynek pracy”</w:t>
      </w:r>
    </w:p>
    <w:p w:rsidR="00816A99" w:rsidRPr="0023444D" w:rsidRDefault="00407EC2" w:rsidP="000F39B7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(konkurs o zlecenie realizacji zadań</w:t>
      </w:r>
      <w:r w:rsidR="00E266F3">
        <w:rPr>
          <w:b/>
          <w:sz w:val="28"/>
          <w:szCs w:val="28"/>
        </w:rPr>
        <w:t xml:space="preserve"> nr 1/2016</w:t>
      </w:r>
      <w:r>
        <w:rPr>
          <w:b/>
          <w:sz w:val="28"/>
          <w:szCs w:val="28"/>
        </w:rPr>
        <w:t>)</w:t>
      </w:r>
    </w:p>
    <w:p w:rsidR="0049049F" w:rsidRDefault="0049049F"/>
    <w:p w:rsidR="00E2235A" w:rsidRDefault="00E2235A"/>
    <w:p w:rsidR="005D284C" w:rsidRDefault="005D284C"/>
    <w:p w:rsidR="00C82F34" w:rsidRDefault="00C82F34" w:rsidP="00E2235A">
      <w:pPr>
        <w:spacing w:after="120"/>
        <w:ind w:left="340" w:hanging="340"/>
        <w:rPr>
          <w:b/>
        </w:rPr>
      </w:pPr>
      <w:r>
        <w:rPr>
          <w:b/>
        </w:rPr>
        <w:t>I.</w:t>
      </w:r>
      <w:r>
        <w:rPr>
          <w:b/>
        </w:rPr>
        <w:tab/>
      </w:r>
      <w:r w:rsidR="00EF63E3">
        <w:rPr>
          <w:b/>
        </w:rPr>
        <w:t>Podstawa prawna</w:t>
      </w:r>
    </w:p>
    <w:p w:rsidR="00EF63E3" w:rsidRPr="00C82F34" w:rsidRDefault="00EF63E3" w:rsidP="00EF63E3">
      <w:pPr>
        <w:pStyle w:val="Tekstpodstawowy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Ogłoszenie konkursu nastąpi </w:t>
      </w:r>
      <w:r w:rsidRPr="00EF63E3">
        <w:rPr>
          <w:rFonts w:ascii="Times New Roman" w:hAnsi="Times New Roman" w:cs="Times New Roman"/>
          <w:sz w:val="26"/>
        </w:rPr>
        <w:t>na podstawie art.</w:t>
      </w:r>
      <w:r>
        <w:rPr>
          <w:rFonts w:ascii="Times New Roman" w:hAnsi="Times New Roman" w:cs="Times New Roman"/>
          <w:sz w:val="26"/>
        </w:rPr>
        <w:t> </w:t>
      </w:r>
      <w:r w:rsidRPr="00EF63E3">
        <w:rPr>
          <w:rFonts w:ascii="Times New Roman" w:hAnsi="Times New Roman" w:cs="Times New Roman"/>
          <w:sz w:val="26"/>
        </w:rPr>
        <w:t>36 ustawy z dnia 27 sierpnia 1997</w:t>
      </w:r>
      <w:r>
        <w:rPr>
          <w:rFonts w:ascii="Times New Roman" w:hAnsi="Times New Roman" w:cs="Times New Roman"/>
          <w:sz w:val="26"/>
        </w:rPr>
        <w:t> </w:t>
      </w:r>
      <w:r w:rsidRPr="00EF63E3">
        <w:rPr>
          <w:rFonts w:ascii="Times New Roman" w:hAnsi="Times New Roman" w:cs="Times New Roman"/>
          <w:sz w:val="26"/>
        </w:rPr>
        <w:t>r. o</w:t>
      </w:r>
      <w:r>
        <w:rPr>
          <w:rFonts w:ascii="Times New Roman" w:hAnsi="Times New Roman" w:cs="Times New Roman"/>
          <w:sz w:val="26"/>
        </w:rPr>
        <w:t> </w:t>
      </w:r>
      <w:r w:rsidRPr="00EF63E3">
        <w:rPr>
          <w:rFonts w:ascii="Times New Roman" w:hAnsi="Times New Roman" w:cs="Times New Roman"/>
          <w:sz w:val="26"/>
        </w:rPr>
        <w:t>rehabilitacji zawodowej i społecznej oraz zatrudnianiu osób niepełnosprawnych (Dz. U. z</w:t>
      </w:r>
      <w:r>
        <w:rPr>
          <w:rFonts w:ascii="Times New Roman" w:hAnsi="Times New Roman" w:cs="Times New Roman"/>
          <w:sz w:val="26"/>
        </w:rPr>
        <w:t> </w:t>
      </w:r>
      <w:r w:rsidRPr="00EF63E3">
        <w:rPr>
          <w:rFonts w:ascii="Times New Roman" w:hAnsi="Times New Roman" w:cs="Times New Roman"/>
          <w:sz w:val="26"/>
        </w:rPr>
        <w:t>2011</w:t>
      </w:r>
      <w:r>
        <w:rPr>
          <w:rFonts w:ascii="Times New Roman" w:hAnsi="Times New Roman" w:cs="Times New Roman"/>
          <w:sz w:val="26"/>
        </w:rPr>
        <w:t> </w:t>
      </w:r>
      <w:r w:rsidRPr="00EF63E3">
        <w:rPr>
          <w:rFonts w:ascii="Times New Roman" w:hAnsi="Times New Roman" w:cs="Times New Roman"/>
          <w:sz w:val="26"/>
        </w:rPr>
        <w:t>r. Nr</w:t>
      </w:r>
      <w:r>
        <w:rPr>
          <w:rFonts w:ascii="Times New Roman" w:hAnsi="Times New Roman" w:cs="Times New Roman"/>
          <w:sz w:val="26"/>
        </w:rPr>
        <w:t> </w:t>
      </w:r>
      <w:r w:rsidRPr="00EF63E3">
        <w:rPr>
          <w:rFonts w:ascii="Times New Roman" w:hAnsi="Times New Roman" w:cs="Times New Roman"/>
          <w:sz w:val="26"/>
        </w:rPr>
        <w:t>127, poz.</w:t>
      </w:r>
      <w:r>
        <w:rPr>
          <w:rFonts w:ascii="Times New Roman" w:hAnsi="Times New Roman" w:cs="Times New Roman"/>
          <w:sz w:val="26"/>
        </w:rPr>
        <w:t> </w:t>
      </w:r>
      <w:r w:rsidRPr="00EF63E3">
        <w:rPr>
          <w:rFonts w:ascii="Times New Roman" w:hAnsi="Times New Roman" w:cs="Times New Roman"/>
          <w:sz w:val="26"/>
        </w:rPr>
        <w:t>721, z późn.</w:t>
      </w:r>
      <w:r>
        <w:rPr>
          <w:rFonts w:ascii="Times New Roman" w:hAnsi="Times New Roman" w:cs="Times New Roman"/>
          <w:sz w:val="26"/>
        </w:rPr>
        <w:t> </w:t>
      </w:r>
      <w:r w:rsidRPr="00EF63E3">
        <w:rPr>
          <w:rFonts w:ascii="Times New Roman" w:hAnsi="Times New Roman" w:cs="Times New Roman"/>
          <w:sz w:val="26"/>
        </w:rPr>
        <w:t>zm.)</w:t>
      </w:r>
      <w:r>
        <w:rPr>
          <w:rFonts w:ascii="Times New Roman" w:hAnsi="Times New Roman" w:cs="Times New Roman"/>
          <w:sz w:val="26"/>
        </w:rPr>
        <w:t>, zwanej dalej „ustawą o rehabilitacji”.</w:t>
      </w:r>
    </w:p>
    <w:p w:rsidR="00EF63E3" w:rsidRDefault="00EF63E3" w:rsidP="00EF63E3">
      <w:pPr>
        <w:spacing w:before="360" w:after="120"/>
        <w:ind w:left="340" w:hanging="340"/>
        <w:rPr>
          <w:b/>
        </w:rPr>
      </w:pPr>
      <w:r>
        <w:rPr>
          <w:b/>
        </w:rPr>
        <w:t>II.</w:t>
      </w:r>
      <w:r>
        <w:rPr>
          <w:b/>
        </w:rPr>
        <w:tab/>
        <w:t>Planowany t</w:t>
      </w:r>
      <w:r w:rsidRPr="00B16711">
        <w:rPr>
          <w:b/>
        </w:rPr>
        <w:t>ermin ogłoszenia konkursu</w:t>
      </w:r>
      <w:r>
        <w:rPr>
          <w:b/>
        </w:rPr>
        <w:t>.</w:t>
      </w:r>
    </w:p>
    <w:p w:rsidR="00EF63E3" w:rsidRDefault="00EF63E3" w:rsidP="00EF63E3">
      <w:pPr>
        <w:pStyle w:val="Tekstpodstawowy"/>
        <w:spacing w:before="0"/>
        <w:rPr>
          <w:rFonts w:ascii="Times New Roman" w:hAnsi="Times New Roman" w:cs="Times New Roman"/>
          <w:sz w:val="26"/>
        </w:rPr>
      </w:pPr>
      <w:r w:rsidRPr="00C82F34">
        <w:rPr>
          <w:rFonts w:ascii="Times New Roman" w:hAnsi="Times New Roman" w:cs="Times New Roman"/>
          <w:sz w:val="26"/>
        </w:rPr>
        <w:t xml:space="preserve">Wrzesień </w:t>
      </w:r>
      <w:r>
        <w:rPr>
          <w:rFonts w:ascii="Times New Roman" w:hAnsi="Times New Roman" w:cs="Times New Roman"/>
          <w:sz w:val="26"/>
        </w:rPr>
        <w:t>2016 rok.</w:t>
      </w:r>
    </w:p>
    <w:p w:rsidR="00EA4DDC" w:rsidRPr="005B48B4" w:rsidRDefault="00EF63E3" w:rsidP="00EF63E3">
      <w:pPr>
        <w:spacing w:before="360" w:after="120"/>
        <w:ind w:left="454" w:hanging="454"/>
        <w:rPr>
          <w:b/>
        </w:rPr>
      </w:pPr>
      <w:r>
        <w:rPr>
          <w:b/>
        </w:rPr>
        <w:t>I</w:t>
      </w:r>
      <w:r w:rsidR="00C82F34">
        <w:rPr>
          <w:b/>
        </w:rPr>
        <w:t>II.</w:t>
      </w:r>
      <w:r w:rsidR="00C82F34">
        <w:rPr>
          <w:b/>
        </w:rPr>
        <w:tab/>
      </w:r>
      <w:r w:rsidR="007754F4">
        <w:rPr>
          <w:b/>
        </w:rPr>
        <w:t xml:space="preserve">Cel </w:t>
      </w:r>
      <w:r w:rsidR="00E266F3">
        <w:rPr>
          <w:b/>
        </w:rPr>
        <w:t>konkursu</w:t>
      </w:r>
    </w:p>
    <w:p w:rsidR="005B48B4" w:rsidRPr="00C74FFE" w:rsidRDefault="000404D6" w:rsidP="005D284C">
      <w:pPr>
        <w:pStyle w:val="Tekstpodstawowy31"/>
        <w:rPr>
          <w:sz w:val="26"/>
          <w:szCs w:val="24"/>
        </w:rPr>
      </w:pPr>
      <w:r>
        <w:rPr>
          <w:sz w:val="26"/>
          <w:szCs w:val="24"/>
        </w:rPr>
        <w:t>W</w:t>
      </w:r>
      <w:r w:rsidR="005B48B4" w:rsidRPr="00C74FFE">
        <w:rPr>
          <w:sz w:val="26"/>
          <w:szCs w:val="24"/>
        </w:rPr>
        <w:t>ejście osób n</w:t>
      </w:r>
      <w:r w:rsidR="00C5626F">
        <w:rPr>
          <w:sz w:val="26"/>
          <w:szCs w:val="24"/>
        </w:rPr>
        <w:t xml:space="preserve">iepełnosprawnych na rynek pracy, w tym </w:t>
      </w:r>
      <w:r w:rsidR="005B48B4" w:rsidRPr="00C74FFE">
        <w:rPr>
          <w:sz w:val="26"/>
          <w:szCs w:val="24"/>
        </w:rPr>
        <w:t>poprzez wykorzystanie metody zatrudnienia wspomaganego</w:t>
      </w:r>
      <w:r w:rsidR="00C5626F">
        <w:rPr>
          <w:sz w:val="26"/>
          <w:szCs w:val="24"/>
        </w:rPr>
        <w:t>.</w:t>
      </w:r>
    </w:p>
    <w:p w:rsidR="0023444D" w:rsidRPr="0023444D" w:rsidRDefault="00C82F34" w:rsidP="00E2235A">
      <w:pPr>
        <w:spacing w:before="360" w:after="120"/>
        <w:ind w:left="454" w:hanging="454"/>
        <w:rPr>
          <w:b/>
        </w:rPr>
      </w:pPr>
      <w:r>
        <w:rPr>
          <w:b/>
        </w:rPr>
        <w:t>I</w:t>
      </w:r>
      <w:r w:rsidR="00EF63E3">
        <w:rPr>
          <w:b/>
        </w:rPr>
        <w:t>V</w:t>
      </w:r>
      <w:r>
        <w:rPr>
          <w:b/>
        </w:rPr>
        <w:t>.</w:t>
      </w:r>
      <w:r>
        <w:rPr>
          <w:b/>
        </w:rPr>
        <w:tab/>
      </w:r>
      <w:r w:rsidR="0023444D" w:rsidRPr="0023444D">
        <w:rPr>
          <w:b/>
        </w:rPr>
        <w:t>Sposób łączenia zadań</w:t>
      </w:r>
      <w:r w:rsidR="0023444D">
        <w:rPr>
          <w:b/>
        </w:rPr>
        <w:t xml:space="preserve"> z rozporządzenia</w:t>
      </w:r>
      <w:r w:rsidR="000624D1">
        <w:rPr>
          <w:b/>
        </w:rPr>
        <w:t> </w:t>
      </w:r>
      <w:r w:rsidR="0023444D">
        <w:rPr>
          <w:rStyle w:val="Odwoanieprzypisudolnego"/>
          <w:b/>
        </w:rPr>
        <w:footnoteReference w:id="1"/>
      </w:r>
    </w:p>
    <w:p w:rsidR="00C5626F" w:rsidRDefault="00C5626F" w:rsidP="00E2235A">
      <w:pPr>
        <w:pStyle w:val="Tekstpodstawowy31"/>
        <w:rPr>
          <w:sz w:val="26"/>
          <w:szCs w:val="26"/>
        </w:rPr>
      </w:pPr>
      <w:r w:rsidRPr="00C5626F">
        <w:rPr>
          <w:sz w:val="26"/>
          <w:szCs w:val="26"/>
        </w:rPr>
        <w:t xml:space="preserve">Składany w ramach konkursu wniosek </w:t>
      </w:r>
      <w:r w:rsidR="001E375A">
        <w:rPr>
          <w:sz w:val="26"/>
          <w:szCs w:val="26"/>
        </w:rPr>
        <w:t xml:space="preserve">będzie musiał </w:t>
      </w:r>
      <w:r w:rsidRPr="00C5626F">
        <w:rPr>
          <w:sz w:val="26"/>
          <w:szCs w:val="26"/>
        </w:rPr>
        <w:t>każdorazowo dotyczy</w:t>
      </w:r>
      <w:r w:rsidR="000404D6">
        <w:rPr>
          <w:sz w:val="26"/>
          <w:szCs w:val="26"/>
        </w:rPr>
        <w:t>ć</w:t>
      </w:r>
      <w:r w:rsidRPr="00C5626F">
        <w:rPr>
          <w:sz w:val="26"/>
          <w:szCs w:val="26"/>
        </w:rPr>
        <w:t xml:space="preserve"> zadania</w:t>
      </w:r>
      <w:r>
        <w:rPr>
          <w:sz w:val="26"/>
          <w:szCs w:val="26"/>
        </w:rPr>
        <w:t xml:space="preserve"> pn.</w:t>
      </w:r>
      <w:r w:rsidRPr="00C5626F">
        <w:rPr>
          <w:sz w:val="26"/>
          <w:szCs w:val="26"/>
        </w:rPr>
        <w:t>:</w:t>
      </w:r>
      <w:r>
        <w:rPr>
          <w:sz w:val="26"/>
          <w:szCs w:val="26"/>
        </w:rPr>
        <w:t> „o</w:t>
      </w:r>
      <w:r w:rsidRPr="00C5626F">
        <w:rPr>
          <w:sz w:val="26"/>
          <w:szCs w:val="26"/>
        </w:rPr>
        <w:t>rganizowanie i</w:t>
      </w:r>
      <w:r>
        <w:rPr>
          <w:sz w:val="26"/>
          <w:szCs w:val="26"/>
        </w:rPr>
        <w:t xml:space="preserve"> </w:t>
      </w:r>
      <w:r w:rsidRPr="00C5626F">
        <w:rPr>
          <w:sz w:val="26"/>
          <w:szCs w:val="26"/>
        </w:rPr>
        <w:t>prowadzenie zintegrowanych działań na rzecz włączania osób niepełnosprawnych w rynek pracy, w szczególności przez: a)</w:t>
      </w:r>
      <w:r>
        <w:rPr>
          <w:sz w:val="26"/>
          <w:szCs w:val="26"/>
        </w:rPr>
        <w:t> </w:t>
      </w:r>
      <w:r w:rsidRPr="00C5626F">
        <w:rPr>
          <w:sz w:val="26"/>
          <w:szCs w:val="26"/>
        </w:rPr>
        <w:t>doradztwo zawodowe, b)</w:t>
      </w:r>
      <w:r>
        <w:rPr>
          <w:sz w:val="26"/>
          <w:szCs w:val="26"/>
        </w:rPr>
        <w:t> </w:t>
      </w:r>
      <w:r w:rsidRPr="00C5626F">
        <w:rPr>
          <w:sz w:val="26"/>
          <w:szCs w:val="26"/>
        </w:rPr>
        <w:t>przygotowanie i wdrożenie indywidualnego planu drogi życiowej i zawodowej, c)</w:t>
      </w:r>
      <w:r>
        <w:rPr>
          <w:sz w:val="26"/>
          <w:szCs w:val="26"/>
        </w:rPr>
        <w:t> </w:t>
      </w:r>
      <w:r w:rsidRPr="00C5626F">
        <w:rPr>
          <w:sz w:val="26"/>
          <w:szCs w:val="26"/>
        </w:rPr>
        <w:t>prowadzenie specjalistycznego poradnictwa zawodowego i pośrednictwa pracy, mających na celu przygotowanie do aktywnego poszukiwania pracy i utrzymania w zatrudnieniu osób niepełnosprawnych</w:t>
      </w:r>
      <w:r>
        <w:rPr>
          <w:sz w:val="26"/>
          <w:szCs w:val="26"/>
        </w:rPr>
        <w:t>”</w:t>
      </w:r>
      <w:r w:rsidRPr="00C5626F">
        <w:rPr>
          <w:sz w:val="26"/>
          <w:szCs w:val="26"/>
        </w:rPr>
        <w:t xml:space="preserve"> (§</w:t>
      </w:r>
      <w:r>
        <w:rPr>
          <w:sz w:val="26"/>
          <w:szCs w:val="26"/>
        </w:rPr>
        <w:t> </w:t>
      </w:r>
      <w:r w:rsidRPr="00C5626F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Pr="00C5626F">
        <w:rPr>
          <w:b/>
          <w:sz w:val="26"/>
          <w:szCs w:val="26"/>
        </w:rPr>
        <w:t>pkt 6</w:t>
      </w:r>
      <w:r w:rsidRPr="00C5626F">
        <w:rPr>
          <w:sz w:val="26"/>
          <w:szCs w:val="26"/>
        </w:rPr>
        <w:t xml:space="preserve"> rozporządzenia).</w:t>
      </w:r>
    </w:p>
    <w:p w:rsidR="0023444D" w:rsidRPr="00C5626F" w:rsidRDefault="000404D6" w:rsidP="000F39B7">
      <w:pPr>
        <w:pStyle w:val="Tekstpodstawowy31"/>
        <w:spacing w:before="60"/>
        <w:rPr>
          <w:sz w:val="26"/>
          <w:szCs w:val="26"/>
        </w:rPr>
      </w:pPr>
      <w:r>
        <w:rPr>
          <w:sz w:val="26"/>
          <w:szCs w:val="26"/>
        </w:rPr>
        <w:t>Zadanie będzie mogło być uzupełnione poprzez</w:t>
      </w:r>
      <w:r w:rsidR="00C5626F" w:rsidRPr="00C5626F">
        <w:rPr>
          <w:sz w:val="26"/>
          <w:szCs w:val="26"/>
        </w:rPr>
        <w:t xml:space="preserve">: </w:t>
      </w:r>
      <w:r w:rsidR="00C5626F">
        <w:rPr>
          <w:sz w:val="26"/>
          <w:szCs w:val="26"/>
        </w:rPr>
        <w:t>„o</w:t>
      </w:r>
      <w:r w:rsidR="00C5626F" w:rsidRPr="00C5626F">
        <w:rPr>
          <w:sz w:val="26"/>
          <w:szCs w:val="26"/>
        </w:rPr>
        <w:t>rganizowanie i</w:t>
      </w:r>
      <w:r>
        <w:rPr>
          <w:sz w:val="26"/>
          <w:szCs w:val="26"/>
        </w:rPr>
        <w:t xml:space="preserve"> </w:t>
      </w:r>
      <w:r w:rsidR="00C5626F" w:rsidRPr="00C5626F">
        <w:rPr>
          <w:sz w:val="26"/>
          <w:szCs w:val="26"/>
        </w:rPr>
        <w:t>prowadzenie szkoleń, kursów, warsztatów, grup środowiskowego wsparcia oraz zespołów aktywności społecznej dla osób niepełnosprawnych – aktywizujących zawodowo i</w:t>
      </w:r>
      <w:r>
        <w:rPr>
          <w:sz w:val="26"/>
          <w:szCs w:val="26"/>
        </w:rPr>
        <w:t xml:space="preserve"> </w:t>
      </w:r>
      <w:r w:rsidR="00C5626F" w:rsidRPr="00C5626F">
        <w:rPr>
          <w:sz w:val="26"/>
          <w:szCs w:val="26"/>
        </w:rPr>
        <w:t>społecznie te osoby</w:t>
      </w:r>
      <w:r w:rsidR="00C5626F">
        <w:rPr>
          <w:sz w:val="26"/>
          <w:szCs w:val="26"/>
        </w:rPr>
        <w:t>”</w:t>
      </w:r>
      <w:r w:rsidR="00C5626F" w:rsidRPr="00C5626F">
        <w:rPr>
          <w:sz w:val="26"/>
          <w:szCs w:val="26"/>
        </w:rPr>
        <w:t xml:space="preserve"> (§ 1 </w:t>
      </w:r>
      <w:r w:rsidR="00C5626F" w:rsidRPr="00C5626F">
        <w:rPr>
          <w:b/>
          <w:bCs/>
          <w:sz w:val="26"/>
          <w:szCs w:val="26"/>
        </w:rPr>
        <w:t>pkt 2</w:t>
      </w:r>
      <w:r w:rsidR="00C5626F" w:rsidRPr="00C5626F">
        <w:rPr>
          <w:sz w:val="26"/>
          <w:szCs w:val="26"/>
        </w:rPr>
        <w:t xml:space="preserve"> rozporządzenia).</w:t>
      </w:r>
    </w:p>
    <w:p w:rsidR="005B48B4" w:rsidRPr="005B48B4" w:rsidRDefault="00C82F34" w:rsidP="00EF63E3">
      <w:pPr>
        <w:spacing w:before="360" w:after="120"/>
        <w:ind w:left="454" w:hanging="454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5B48B4" w:rsidRPr="005B48B4">
        <w:rPr>
          <w:b/>
        </w:rPr>
        <w:t>Podmioty uprawnione</w:t>
      </w:r>
      <w:r w:rsidR="007754F4">
        <w:rPr>
          <w:b/>
        </w:rPr>
        <w:t xml:space="preserve"> do udziału w konkursie</w:t>
      </w:r>
    </w:p>
    <w:p w:rsidR="00A676C0" w:rsidRPr="005D284C" w:rsidRDefault="00A676C0" w:rsidP="005D284C">
      <w:pPr>
        <w:pStyle w:val="Akapitzlist"/>
        <w:numPr>
          <w:ilvl w:val="0"/>
          <w:numId w:val="31"/>
        </w:numPr>
        <w:jc w:val="both"/>
        <w:rPr>
          <w:rFonts w:eastAsia="Times New Roman"/>
          <w:lang w:eastAsia="pl-PL"/>
        </w:rPr>
      </w:pPr>
      <w:r w:rsidRPr="005D284C">
        <w:rPr>
          <w:rFonts w:eastAsia="Times New Roman"/>
          <w:lang w:eastAsia="pl-PL"/>
        </w:rPr>
        <w:t>Podmiotami uprawnionymi do składania wniosków w</w:t>
      </w:r>
      <w:r w:rsidR="00C36966" w:rsidRPr="005D284C">
        <w:rPr>
          <w:rFonts w:eastAsia="Times New Roman"/>
          <w:lang w:eastAsia="pl-PL"/>
        </w:rPr>
        <w:t xml:space="preserve"> </w:t>
      </w:r>
      <w:r w:rsidRPr="005D284C">
        <w:rPr>
          <w:rFonts w:eastAsia="Times New Roman"/>
          <w:lang w:eastAsia="pl-PL"/>
        </w:rPr>
        <w:t>ramach konkursu będą:</w:t>
      </w:r>
    </w:p>
    <w:p w:rsidR="00A676C0" w:rsidRPr="00A676C0" w:rsidRDefault="00A676C0" w:rsidP="00A676C0">
      <w:pPr>
        <w:numPr>
          <w:ilvl w:val="0"/>
          <w:numId w:val="2"/>
        </w:numPr>
        <w:tabs>
          <w:tab w:val="clear" w:pos="740"/>
          <w:tab w:val="num" w:pos="737"/>
        </w:tabs>
        <w:spacing w:before="60"/>
        <w:jc w:val="both"/>
        <w:rPr>
          <w:rFonts w:eastAsia="Times New Roman"/>
          <w:lang w:eastAsia="pl-PL"/>
        </w:rPr>
      </w:pPr>
      <w:r w:rsidRPr="00A676C0">
        <w:rPr>
          <w:rFonts w:eastAsia="Times New Roman"/>
          <w:lang w:eastAsia="pl-PL"/>
        </w:rPr>
        <w:t xml:space="preserve">organizacje pozarządowe, w tym fundacje </w:t>
      </w:r>
      <w:r w:rsidR="00C36966">
        <w:rPr>
          <w:rFonts w:eastAsia="Times New Roman"/>
          <w:lang w:eastAsia="pl-PL"/>
        </w:rPr>
        <w:t>i stowarzyszenia;</w:t>
      </w:r>
    </w:p>
    <w:p w:rsidR="00A676C0" w:rsidRPr="00A676C0" w:rsidRDefault="00C36966" w:rsidP="00A676C0">
      <w:pPr>
        <w:numPr>
          <w:ilvl w:val="0"/>
          <w:numId w:val="2"/>
        </w:numPr>
        <w:tabs>
          <w:tab w:val="clear" w:pos="740"/>
          <w:tab w:val="num" w:pos="737"/>
        </w:tabs>
        <w:spacing w:before="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kościelne osoby prawne;</w:t>
      </w:r>
    </w:p>
    <w:p w:rsidR="007754F4" w:rsidRDefault="00A676C0" w:rsidP="007754F4">
      <w:pPr>
        <w:numPr>
          <w:ilvl w:val="0"/>
          <w:numId w:val="2"/>
        </w:numPr>
        <w:spacing w:before="60"/>
        <w:jc w:val="both"/>
        <w:rPr>
          <w:rFonts w:eastAsia="Times New Roman"/>
          <w:lang w:eastAsia="pl-PL"/>
        </w:rPr>
      </w:pPr>
      <w:r w:rsidRPr="00A676C0">
        <w:rPr>
          <w:rFonts w:eastAsia="Times New Roman"/>
          <w:lang w:eastAsia="pl-PL"/>
        </w:rPr>
        <w:t xml:space="preserve">stowarzyszenia jednostek samorządu terytorialnego, spółdzielnie socjalne, </w:t>
      </w:r>
      <w:r w:rsidR="007754F4" w:rsidRPr="007754F4">
        <w:rPr>
          <w:rFonts w:eastAsia="Times New Roman"/>
          <w:lang w:eastAsia="pl-PL"/>
        </w:rPr>
        <w:t>a także spełniające szczególne warunki</w:t>
      </w:r>
      <w:r w:rsidR="007754F4">
        <w:rPr>
          <w:rFonts w:eastAsia="Times New Roman"/>
          <w:lang w:eastAsia="pl-PL"/>
        </w:rPr>
        <w:t xml:space="preserve"> </w:t>
      </w:r>
      <w:r w:rsidRPr="00A676C0">
        <w:rPr>
          <w:rFonts w:eastAsia="Times New Roman"/>
          <w:lang w:eastAsia="pl-PL"/>
        </w:rPr>
        <w:t>spółki akcyjne, spółki z ograniczoną odpowiedzialnością oraz kluby sportowe będące spółkami.</w:t>
      </w:r>
    </w:p>
    <w:p w:rsidR="00D06CB0" w:rsidRDefault="00D06CB0" w:rsidP="00D06CB0">
      <w:pPr>
        <w:jc w:val="both"/>
        <w:rPr>
          <w:rFonts w:eastAsia="Times New Roman"/>
          <w:lang w:eastAsia="pl-PL"/>
        </w:rPr>
      </w:pPr>
    </w:p>
    <w:p w:rsidR="00D06CB0" w:rsidRDefault="00D06CB0" w:rsidP="00D06CB0">
      <w:pPr>
        <w:jc w:val="both"/>
        <w:rPr>
          <w:rFonts w:eastAsia="Times New Roman"/>
          <w:lang w:eastAsia="pl-PL"/>
        </w:rPr>
      </w:pPr>
    </w:p>
    <w:p w:rsidR="00A676C0" w:rsidRPr="00A676C0" w:rsidRDefault="00A676C0" w:rsidP="005D284C">
      <w:pPr>
        <w:pStyle w:val="Akapitzlist"/>
        <w:numPr>
          <w:ilvl w:val="0"/>
          <w:numId w:val="31"/>
        </w:numPr>
        <w:spacing w:before="120"/>
        <w:jc w:val="both"/>
        <w:rPr>
          <w:rFonts w:eastAsia="Times New Roman"/>
          <w:lang w:eastAsia="pl-PL"/>
        </w:rPr>
      </w:pPr>
      <w:r w:rsidRPr="00A676C0">
        <w:rPr>
          <w:rFonts w:eastAsia="Times New Roman"/>
          <w:lang w:eastAsia="pl-PL"/>
        </w:rPr>
        <w:lastRenderedPageBreak/>
        <w:t xml:space="preserve">Warunkiem składania wniosków przez uprawnione podmioty </w:t>
      </w:r>
      <w:r w:rsidR="005B48B4">
        <w:rPr>
          <w:rFonts w:eastAsia="Times New Roman"/>
          <w:lang w:eastAsia="pl-PL"/>
        </w:rPr>
        <w:t>będzie</w:t>
      </w:r>
      <w:r w:rsidRPr="00A676C0">
        <w:rPr>
          <w:rFonts w:eastAsia="Times New Roman"/>
          <w:lang w:eastAsia="pl-PL"/>
        </w:rPr>
        <w:t>:</w:t>
      </w:r>
    </w:p>
    <w:p w:rsidR="00A676C0" w:rsidRPr="00A676C0" w:rsidRDefault="00A676C0" w:rsidP="00C5626F">
      <w:pPr>
        <w:numPr>
          <w:ilvl w:val="0"/>
          <w:numId w:val="1"/>
        </w:numPr>
        <w:spacing w:before="60"/>
        <w:jc w:val="both"/>
        <w:rPr>
          <w:rFonts w:eastAsia="Times New Roman"/>
          <w:lang w:eastAsia="pl-PL"/>
        </w:rPr>
      </w:pPr>
      <w:r w:rsidRPr="00A676C0">
        <w:rPr>
          <w:rFonts w:eastAsia="Times New Roman"/>
          <w:lang w:eastAsia="pl-PL"/>
        </w:rPr>
        <w:t>posiadanie statutowego zapisu o prowadzeniu działań na rzecz osób niepełnosprawnych, oraz</w:t>
      </w:r>
    </w:p>
    <w:p w:rsidR="00694C77" w:rsidRDefault="00A676C0" w:rsidP="005D284C">
      <w:pPr>
        <w:numPr>
          <w:ilvl w:val="0"/>
          <w:numId w:val="1"/>
        </w:numPr>
        <w:spacing w:before="60"/>
        <w:jc w:val="both"/>
        <w:rPr>
          <w:rFonts w:eastAsia="Times New Roman"/>
          <w:lang w:eastAsia="pl-PL"/>
        </w:rPr>
      </w:pPr>
      <w:r w:rsidRPr="00A676C0">
        <w:rPr>
          <w:rFonts w:eastAsia="Times New Roman"/>
          <w:lang w:eastAsia="pl-PL"/>
        </w:rPr>
        <w:t xml:space="preserve">prowadzenie działalności na rzecz osób niepełnosprawnych przez okres co najmniej 2 lat (licząc </w:t>
      </w:r>
      <w:r w:rsidR="007754F4">
        <w:rPr>
          <w:rFonts w:eastAsia="Times New Roman"/>
          <w:lang w:eastAsia="pl-PL"/>
        </w:rPr>
        <w:t xml:space="preserve">wstecz </w:t>
      </w:r>
      <w:r w:rsidRPr="00A676C0">
        <w:rPr>
          <w:rFonts w:eastAsia="Times New Roman"/>
          <w:lang w:eastAsia="pl-PL"/>
        </w:rPr>
        <w:t>od daty ogłoszenia konkursu).</w:t>
      </w:r>
    </w:p>
    <w:p w:rsidR="005B48B4" w:rsidRPr="00C36966" w:rsidRDefault="00C82F34" w:rsidP="00EF63E3">
      <w:pPr>
        <w:spacing w:before="360" w:after="120"/>
        <w:ind w:left="567" w:hanging="567"/>
        <w:rPr>
          <w:b/>
        </w:rPr>
      </w:pPr>
      <w:r>
        <w:rPr>
          <w:b/>
        </w:rPr>
        <w:t>V</w:t>
      </w:r>
      <w:r w:rsidR="00EF63E3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C36966">
        <w:rPr>
          <w:b/>
        </w:rPr>
        <w:t>W</w:t>
      </w:r>
      <w:r w:rsidR="00C36966" w:rsidRPr="00C36966">
        <w:rPr>
          <w:b/>
        </w:rPr>
        <w:t>arunki projektów</w:t>
      </w:r>
      <w:r w:rsidR="007B3613">
        <w:rPr>
          <w:b/>
        </w:rPr>
        <w:t xml:space="preserve"> zgłaszanych w konkursie</w:t>
      </w:r>
    </w:p>
    <w:p w:rsidR="00C36966" w:rsidRPr="005C5CAF" w:rsidRDefault="00C36966" w:rsidP="00E2235A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eastAsia="Times New Roman"/>
          <w:lang w:eastAsia="pl-PL"/>
        </w:rPr>
      </w:pPr>
      <w:r w:rsidRPr="005C5CAF">
        <w:rPr>
          <w:rFonts w:eastAsia="Times New Roman"/>
          <w:szCs w:val="20"/>
          <w:lang w:eastAsia="pl-PL"/>
        </w:rPr>
        <w:t xml:space="preserve">Celem projektu </w:t>
      </w:r>
      <w:r w:rsidR="007B3613" w:rsidRPr="005C5CAF">
        <w:rPr>
          <w:rFonts w:eastAsia="Times New Roman"/>
          <w:szCs w:val="20"/>
          <w:lang w:eastAsia="pl-PL"/>
        </w:rPr>
        <w:t xml:space="preserve">będzie </w:t>
      </w:r>
      <w:r w:rsidR="00AE0BA0">
        <w:rPr>
          <w:rFonts w:eastAsia="Times New Roman"/>
          <w:szCs w:val="20"/>
          <w:lang w:eastAsia="pl-PL"/>
        </w:rPr>
        <w:t xml:space="preserve">wejście </w:t>
      </w:r>
      <w:r w:rsidRPr="005C5CAF">
        <w:rPr>
          <w:rFonts w:eastAsia="Times New Roman"/>
          <w:szCs w:val="20"/>
          <w:lang w:eastAsia="pl-PL"/>
        </w:rPr>
        <w:t>beneficjentów ostatecznych projektu na ryn</w:t>
      </w:r>
      <w:r w:rsidR="00AE0BA0">
        <w:rPr>
          <w:rFonts w:eastAsia="Times New Roman"/>
          <w:szCs w:val="20"/>
          <w:lang w:eastAsia="pl-PL"/>
        </w:rPr>
        <w:t>ek</w:t>
      </w:r>
      <w:r w:rsidRPr="005C5CAF">
        <w:rPr>
          <w:rFonts w:eastAsia="Times New Roman"/>
          <w:szCs w:val="20"/>
          <w:lang w:eastAsia="pl-PL"/>
        </w:rPr>
        <w:t xml:space="preserve"> pracy.</w:t>
      </w:r>
      <w:r w:rsidR="000624D1" w:rsidRPr="005C5CAF">
        <w:rPr>
          <w:rFonts w:eastAsia="Times New Roman"/>
          <w:szCs w:val="20"/>
          <w:lang w:eastAsia="pl-PL"/>
        </w:rPr>
        <w:t xml:space="preserve"> </w:t>
      </w:r>
      <w:r w:rsidRPr="005C5CAF">
        <w:rPr>
          <w:rFonts w:eastAsia="Times New Roman"/>
          <w:lang w:eastAsia="pl-PL"/>
        </w:rPr>
        <w:t xml:space="preserve">Osiągniecie celów projektu </w:t>
      </w:r>
      <w:r w:rsidR="00306697" w:rsidRPr="005C5CAF">
        <w:rPr>
          <w:rFonts w:eastAsia="Times New Roman"/>
          <w:lang w:eastAsia="pl-PL"/>
        </w:rPr>
        <w:t xml:space="preserve">dokumentowane </w:t>
      </w:r>
      <w:r w:rsidR="007B3613" w:rsidRPr="005C5CAF">
        <w:rPr>
          <w:rFonts w:eastAsia="Times New Roman"/>
          <w:lang w:eastAsia="pl-PL"/>
        </w:rPr>
        <w:t xml:space="preserve">będzie </w:t>
      </w:r>
      <w:r w:rsidRPr="005C5CAF">
        <w:rPr>
          <w:rFonts w:eastAsia="Times New Roman"/>
          <w:lang w:eastAsia="pl-PL"/>
        </w:rPr>
        <w:t>między innymi w</w:t>
      </w:r>
      <w:r w:rsidR="00C5626F">
        <w:rPr>
          <w:rFonts w:eastAsia="Times New Roman"/>
          <w:lang w:eastAsia="pl-PL"/>
        </w:rPr>
        <w:t xml:space="preserve"> </w:t>
      </w:r>
      <w:r w:rsidRPr="005C5CAF">
        <w:rPr>
          <w:rFonts w:eastAsia="Times New Roman"/>
          <w:lang w:eastAsia="pl-PL"/>
        </w:rPr>
        <w:t>postaci Indywidualnych Planów Działania (IPD) dla każdego beneficjenta ostatecznego projektu.</w:t>
      </w:r>
    </w:p>
    <w:p w:rsidR="007B3613" w:rsidRPr="009450F6" w:rsidRDefault="007B3613" w:rsidP="005C5CAF">
      <w:pPr>
        <w:pStyle w:val="Akapitzlist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eastAsia="Times New Roman"/>
          <w:szCs w:val="20"/>
          <w:lang w:eastAsia="pl-PL"/>
        </w:rPr>
      </w:pPr>
      <w:r w:rsidRPr="009450F6">
        <w:rPr>
          <w:rFonts w:eastAsia="Times New Roman"/>
          <w:szCs w:val="20"/>
          <w:lang w:eastAsia="pl-PL"/>
        </w:rPr>
        <w:t>Projekty dotyczące „wejści</w:t>
      </w:r>
      <w:r w:rsidR="000624D1" w:rsidRPr="009450F6">
        <w:rPr>
          <w:rFonts w:eastAsia="Times New Roman"/>
          <w:szCs w:val="20"/>
          <w:lang w:eastAsia="pl-PL"/>
        </w:rPr>
        <w:t>a</w:t>
      </w:r>
      <w:r w:rsidRPr="009450F6">
        <w:rPr>
          <w:rFonts w:eastAsia="Times New Roman"/>
          <w:szCs w:val="20"/>
          <w:lang w:eastAsia="pl-PL"/>
        </w:rPr>
        <w:t xml:space="preserve"> osób niepełnosprawnych na rynek pracy poprzez wykorzystanie metody zatrudnienia wspomaganego” będą musiały przewidywać wsparcie trenera pracy</w:t>
      </w:r>
      <w:r w:rsidR="007348ED" w:rsidRPr="009450F6">
        <w:rPr>
          <w:rFonts w:eastAsia="Times New Roman"/>
          <w:szCs w:val="20"/>
          <w:lang w:eastAsia="pl-PL"/>
        </w:rPr>
        <w:t>.</w:t>
      </w:r>
    </w:p>
    <w:p w:rsidR="00F067CA" w:rsidRPr="005C5CAF" w:rsidRDefault="007B3613" w:rsidP="005C5CAF">
      <w:pPr>
        <w:pStyle w:val="Akapitzlist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eastAsia="Times New Roman"/>
          <w:szCs w:val="20"/>
          <w:lang w:eastAsia="pl-PL"/>
        </w:rPr>
      </w:pPr>
      <w:r w:rsidRPr="005C5CAF">
        <w:rPr>
          <w:rFonts w:eastAsia="Times New Roman"/>
          <w:szCs w:val="20"/>
          <w:lang w:eastAsia="pl-PL"/>
        </w:rPr>
        <w:t xml:space="preserve">Beneficjentami ostatecznymi projektu </w:t>
      </w:r>
      <w:r w:rsidR="007348ED" w:rsidRPr="005C5CAF">
        <w:rPr>
          <w:rFonts w:eastAsia="Times New Roman"/>
          <w:szCs w:val="20"/>
          <w:lang w:eastAsia="pl-PL"/>
        </w:rPr>
        <w:t>będą</w:t>
      </w:r>
      <w:r w:rsidR="00F067CA" w:rsidRPr="005C5CAF">
        <w:rPr>
          <w:rFonts w:eastAsia="Times New Roman"/>
          <w:szCs w:val="20"/>
          <w:lang w:eastAsia="pl-PL"/>
        </w:rPr>
        <w:t>:</w:t>
      </w:r>
    </w:p>
    <w:p w:rsidR="00F067CA" w:rsidRPr="00F067CA" w:rsidRDefault="007B3613" w:rsidP="005C5CAF">
      <w:pPr>
        <w:pStyle w:val="Akapitzlist"/>
        <w:numPr>
          <w:ilvl w:val="0"/>
          <w:numId w:val="9"/>
        </w:numPr>
        <w:spacing w:before="60"/>
        <w:contextualSpacing w:val="0"/>
        <w:jc w:val="both"/>
        <w:rPr>
          <w:rFonts w:eastAsia="Times New Roman"/>
          <w:lang w:eastAsia="pl-PL"/>
        </w:rPr>
      </w:pPr>
      <w:r w:rsidRPr="00E52DB8">
        <w:t>osoby w wieku aktywności zawodowej (tj. osoby, które nie osiągnęły wieku emerytalnego)</w:t>
      </w:r>
      <w:r w:rsidR="00F067CA">
        <w:t>,</w:t>
      </w:r>
      <w:r w:rsidR="0063546C">
        <w:t xml:space="preserve"> oraz</w:t>
      </w:r>
    </w:p>
    <w:p w:rsidR="00C36966" w:rsidRPr="00F067CA" w:rsidRDefault="007754F4" w:rsidP="005C5CAF">
      <w:pPr>
        <w:pStyle w:val="Akapitzlist"/>
        <w:numPr>
          <w:ilvl w:val="0"/>
          <w:numId w:val="9"/>
        </w:numPr>
        <w:spacing w:before="60"/>
        <w:contextualSpacing w:val="0"/>
        <w:jc w:val="both"/>
        <w:rPr>
          <w:rFonts w:eastAsia="Times New Roman"/>
          <w:lang w:eastAsia="pl-PL"/>
        </w:rPr>
      </w:pPr>
      <w:r w:rsidRPr="00F067CA">
        <w:rPr>
          <w:rFonts w:eastAsia="Times New Roman"/>
          <w:lang w:eastAsia="pl-PL"/>
        </w:rPr>
        <w:t xml:space="preserve">które na dzień rekrutacji do projektu nie będą </w:t>
      </w:r>
      <w:r w:rsidR="00F067CA">
        <w:rPr>
          <w:rFonts w:eastAsia="Times New Roman"/>
          <w:lang w:eastAsia="pl-PL"/>
        </w:rPr>
        <w:t>zatrudnione – s</w:t>
      </w:r>
      <w:r w:rsidR="00C36966" w:rsidRPr="00F067CA">
        <w:rPr>
          <w:rFonts w:eastAsia="Times New Roman"/>
          <w:lang w:eastAsia="pl-PL"/>
        </w:rPr>
        <w:t>tosowanie</w:t>
      </w:r>
      <w:r w:rsidR="00F067CA">
        <w:rPr>
          <w:rFonts w:eastAsia="Times New Roman"/>
          <w:lang w:eastAsia="pl-PL"/>
        </w:rPr>
        <w:t xml:space="preserve"> tego </w:t>
      </w:r>
      <w:r w:rsidR="00C36966" w:rsidRPr="00F067CA">
        <w:rPr>
          <w:rFonts w:eastAsia="Times New Roman"/>
          <w:lang w:eastAsia="pl-PL"/>
        </w:rPr>
        <w:t xml:space="preserve">warunku </w:t>
      </w:r>
      <w:r w:rsidRPr="00F067CA">
        <w:rPr>
          <w:rFonts w:eastAsia="Times New Roman"/>
          <w:lang w:eastAsia="pl-PL"/>
        </w:rPr>
        <w:t xml:space="preserve">będzie </w:t>
      </w:r>
      <w:r w:rsidR="00C36966" w:rsidRPr="00F067CA">
        <w:rPr>
          <w:rFonts w:eastAsia="Times New Roman"/>
          <w:lang w:eastAsia="pl-PL"/>
        </w:rPr>
        <w:t>wyłączone w</w:t>
      </w:r>
      <w:r w:rsidR="00F067CA" w:rsidRPr="00F067CA">
        <w:rPr>
          <w:rFonts w:eastAsia="Times New Roman"/>
          <w:lang w:eastAsia="pl-PL"/>
        </w:rPr>
        <w:t xml:space="preserve"> </w:t>
      </w:r>
      <w:r w:rsidR="00C36966" w:rsidRPr="00F067CA">
        <w:rPr>
          <w:rFonts w:eastAsia="Times New Roman"/>
          <w:lang w:eastAsia="pl-PL"/>
        </w:rPr>
        <w:t>przypadku osób zatrudnionych z wykorzystaniem metody zatrudnienia wspomaganego (wsparcie trenerów pracy)</w:t>
      </w:r>
      <w:r w:rsidR="000404D6">
        <w:rPr>
          <w:rFonts w:eastAsia="Times New Roman"/>
          <w:lang w:eastAsia="pl-PL"/>
        </w:rPr>
        <w:t>,</w:t>
      </w:r>
      <w:r w:rsidR="00C36966" w:rsidRPr="00F067CA">
        <w:rPr>
          <w:rFonts w:eastAsia="Times New Roman"/>
          <w:lang w:eastAsia="pl-PL"/>
        </w:rPr>
        <w:t xml:space="preserve"> jeżeli proces wspomagania tej osoby w</w:t>
      </w:r>
      <w:r w:rsidR="007B3613" w:rsidRPr="00F067CA">
        <w:rPr>
          <w:rFonts w:eastAsia="Times New Roman"/>
          <w:lang w:eastAsia="pl-PL"/>
        </w:rPr>
        <w:t> </w:t>
      </w:r>
      <w:r w:rsidR="00F067CA">
        <w:rPr>
          <w:rFonts w:eastAsia="Times New Roman"/>
          <w:lang w:eastAsia="pl-PL"/>
        </w:rPr>
        <w:t>miejscu pracy nie zostanie</w:t>
      </w:r>
      <w:r w:rsidR="00C36966" w:rsidRPr="00F067CA">
        <w:rPr>
          <w:rFonts w:eastAsia="Times New Roman"/>
          <w:lang w:eastAsia="pl-PL"/>
        </w:rPr>
        <w:t xml:space="preserve"> zakończony.</w:t>
      </w:r>
    </w:p>
    <w:p w:rsidR="005B48B4" w:rsidRDefault="00BB5A61" w:rsidP="005D6227">
      <w:pPr>
        <w:pStyle w:val="Akapitzlist"/>
        <w:numPr>
          <w:ilvl w:val="0"/>
          <w:numId w:val="12"/>
        </w:numPr>
        <w:spacing w:before="80"/>
        <w:contextualSpacing w:val="0"/>
        <w:jc w:val="both"/>
        <w:rPr>
          <w:rFonts w:eastAsia="Times New Roman"/>
          <w:szCs w:val="20"/>
          <w:lang w:eastAsia="pl-PL"/>
        </w:rPr>
      </w:pPr>
      <w:r w:rsidRPr="000A2D2C">
        <w:rPr>
          <w:rFonts w:eastAsia="Times New Roman"/>
          <w:szCs w:val="20"/>
          <w:lang w:eastAsia="pl-PL"/>
        </w:rPr>
        <w:t>W przypadku projekt</w:t>
      </w:r>
      <w:r w:rsidR="000A2D2C" w:rsidRPr="000A2D2C">
        <w:rPr>
          <w:rFonts w:eastAsia="Times New Roman"/>
          <w:szCs w:val="20"/>
          <w:lang w:eastAsia="pl-PL"/>
        </w:rPr>
        <w:t xml:space="preserve">ów które realizowane </w:t>
      </w:r>
      <w:r w:rsidR="000A2D2C">
        <w:rPr>
          <w:rFonts w:eastAsia="Times New Roman"/>
          <w:szCs w:val="20"/>
          <w:lang w:eastAsia="pl-PL"/>
        </w:rPr>
        <w:t>będą</w:t>
      </w:r>
      <w:r w:rsidR="000A2D2C" w:rsidRPr="000A2D2C">
        <w:rPr>
          <w:rFonts w:eastAsia="Times New Roman"/>
          <w:szCs w:val="20"/>
          <w:lang w:eastAsia="pl-PL"/>
        </w:rPr>
        <w:t xml:space="preserve"> poprzez </w:t>
      </w:r>
      <w:r w:rsidRPr="000A2D2C">
        <w:rPr>
          <w:rFonts w:eastAsia="Times New Roman"/>
          <w:szCs w:val="20"/>
          <w:lang w:eastAsia="pl-PL"/>
        </w:rPr>
        <w:t>wykorzystanie metody zatrudnienia wspomaganego w rezultatach projektu będą mogły zostać wykazane osoby zatrudnione na podstawie umowy o pracę lub osoby zatrudnione na podstawie umowy cywilnoprawnej lub osoby rozpoczynające własną działalność gospodarczą. W</w:t>
      </w:r>
      <w:r w:rsidR="000A2D2C" w:rsidRPr="000A2D2C">
        <w:rPr>
          <w:rFonts w:eastAsia="Times New Roman"/>
          <w:szCs w:val="20"/>
          <w:lang w:eastAsia="pl-PL"/>
        </w:rPr>
        <w:t xml:space="preserve"> pozostałych przypadkach </w:t>
      </w:r>
      <w:r w:rsidRPr="000A2D2C">
        <w:rPr>
          <w:rFonts w:eastAsia="Times New Roman"/>
          <w:szCs w:val="20"/>
          <w:lang w:eastAsia="pl-PL"/>
        </w:rPr>
        <w:t>w</w:t>
      </w:r>
      <w:r w:rsidR="007348ED" w:rsidRPr="000A2D2C">
        <w:rPr>
          <w:rFonts w:eastAsia="Times New Roman"/>
          <w:szCs w:val="20"/>
          <w:lang w:eastAsia="pl-PL"/>
        </w:rPr>
        <w:t xml:space="preserve"> rezultatach projektu będą mogły </w:t>
      </w:r>
      <w:r w:rsidR="00306697" w:rsidRPr="000A2D2C">
        <w:rPr>
          <w:rFonts w:eastAsia="Times New Roman"/>
          <w:szCs w:val="20"/>
          <w:lang w:eastAsia="pl-PL"/>
        </w:rPr>
        <w:t xml:space="preserve">zostać </w:t>
      </w:r>
      <w:r w:rsidR="007348ED" w:rsidRPr="000A2D2C">
        <w:rPr>
          <w:rFonts w:eastAsia="Times New Roman"/>
          <w:szCs w:val="20"/>
          <w:lang w:eastAsia="pl-PL"/>
        </w:rPr>
        <w:t>wykaz</w:t>
      </w:r>
      <w:r w:rsidR="0098776C" w:rsidRPr="000A2D2C">
        <w:rPr>
          <w:rFonts w:eastAsia="Times New Roman"/>
          <w:szCs w:val="20"/>
          <w:lang w:eastAsia="pl-PL"/>
        </w:rPr>
        <w:t>ane</w:t>
      </w:r>
      <w:r w:rsidR="007348ED" w:rsidRPr="000A2D2C">
        <w:rPr>
          <w:rFonts w:eastAsia="Times New Roman"/>
          <w:szCs w:val="20"/>
          <w:lang w:eastAsia="pl-PL"/>
        </w:rPr>
        <w:t xml:space="preserve"> wyłącznie osoby zatrudnione na podstawie umowy o pracę lub osoby rozpoczynające własną działalność gospodarczą</w:t>
      </w:r>
      <w:r w:rsidRPr="000A2D2C">
        <w:rPr>
          <w:rFonts w:eastAsia="Times New Roman"/>
          <w:szCs w:val="20"/>
          <w:lang w:eastAsia="pl-PL"/>
        </w:rPr>
        <w:t>.</w:t>
      </w:r>
    </w:p>
    <w:p w:rsidR="0012643E" w:rsidRDefault="0072263A" w:rsidP="005D6227">
      <w:pPr>
        <w:pStyle w:val="Akapitzlist"/>
        <w:numPr>
          <w:ilvl w:val="0"/>
          <w:numId w:val="12"/>
        </w:numPr>
        <w:spacing w:before="80"/>
        <w:contextualSpacing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</w:t>
      </w:r>
      <w:r w:rsidR="0092079D">
        <w:rPr>
          <w:rFonts w:eastAsia="Times New Roman"/>
          <w:szCs w:val="20"/>
          <w:lang w:eastAsia="pl-PL"/>
        </w:rPr>
        <w:t xml:space="preserve">ymiar czasu pracy beneficjentów ostatecznych projektu </w:t>
      </w:r>
      <w:r w:rsidR="00CA5A97">
        <w:rPr>
          <w:rFonts w:eastAsia="Times New Roman"/>
          <w:szCs w:val="20"/>
          <w:lang w:eastAsia="pl-PL"/>
        </w:rPr>
        <w:t xml:space="preserve">zatrudnionych </w:t>
      </w:r>
      <w:r w:rsidR="0012643E">
        <w:rPr>
          <w:rFonts w:eastAsia="Times New Roman"/>
          <w:szCs w:val="20"/>
          <w:lang w:eastAsia="pl-PL"/>
        </w:rPr>
        <w:t xml:space="preserve">na podstawie umowy o pracę </w:t>
      </w:r>
      <w:r w:rsidR="00CA5A97">
        <w:rPr>
          <w:rFonts w:eastAsia="Times New Roman"/>
          <w:szCs w:val="20"/>
          <w:lang w:eastAsia="pl-PL"/>
        </w:rPr>
        <w:t>będzie musiał wynosić:</w:t>
      </w:r>
    </w:p>
    <w:p w:rsidR="00CA5A97" w:rsidRDefault="0072263A" w:rsidP="00CA5A97">
      <w:pPr>
        <w:pStyle w:val="Akapitzlist"/>
        <w:numPr>
          <w:ilvl w:val="0"/>
          <w:numId w:val="21"/>
        </w:numPr>
        <w:spacing w:before="60"/>
        <w:contextualSpacing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co najmniej </w:t>
      </w:r>
      <w:r w:rsidR="00CA5A97">
        <w:rPr>
          <w:rFonts w:eastAsia="Times New Roman"/>
          <w:szCs w:val="20"/>
          <w:lang w:eastAsia="pl-PL"/>
        </w:rPr>
        <w:t>0,2</w:t>
      </w:r>
      <w:r w:rsidR="000404D6">
        <w:rPr>
          <w:rFonts w:eastAsia="Times New Roman"/>
          <w:szCs w:val="20"/>
          <w:lang w:eastAsia="pl-PL"/>
        </w:rPr>
        <w:t>5</w:t>
      </w:r>
      <w:r w:rsidR="00CA5A97">
        <w:rPr>
          <w:rFonts w:eastAsia="Times New Roman"/>
          <w:szCs w:val="20"/>
          <w:lang w:eastAsia="pl-PL"/>
        </w:rPr>
        <w:t xml:space="preserve"> etatu – w </w:t>
      </w:r>
      <w:r w:rsidR="00CA5A97" w:rsidRPr="00CA5A97">
        <w:rPr>
          <w:rFonts w:eastAsia="Times New Roman"/>
          <w:szCs w:val="20"/>
          <w:lang w:eastAsia="pl-PL"/>
        </w:rPr>
        <w:t>przypadku osób</w:t>
      </w:r>
      <w:r w:rsidR="00CA5A97">
        <w:rPr>
          <w:rFonts w:eastAsia="Times New Roman"/>
          <w:szCs w:val="20"/>
          <w:lang w:eastAsia="pl-PL"/>
        </w:rPr>
        <w:t xml:space="preserve"> z orzeczonym</w:t>
      </w:r>
      <w:r w:rsidR="0092079D">
        <w:rPr>
          <w:rFonts w:eastAsia="Times New Roman"/>
          <w:szCs w:val="20"/>
          <w:lang w:eastAsia="pl-PL"/>
        </w:rPr>
        <w:t xml:space="preserve"> znacznym stopn</w:t>
      </w:r>
      <w:r>
        <w:rPr>
          <w:rFonts w:eastAsia="Times New Roman"/>
          <w:szCs w:val="20"/>
          <w:lang w:eastAsia="pl-PL"/>
        </w:rPr>
        <w:t>iem</w:t>
      </w:r>
      <w:r w:rsidR="0092079D">
        <w:rPr>
          <w:rFonts w:eastAsia="Times New Roman"/>
          <w:szCs w:val="20"/>
          <w:lang w:eastAsia="pl-PL"/>
        </w:rPr>
        <w:t xml:space="preserve"> niepełnosprawności</w:t>
      </w:r>
      <w:r w:rsidR="00E2235A">
        <w:rPr>
          <w:rFonts w:eastAsia="Times New Roman"/>
          <w:szCs w:val="20"/>
          <w:lang w:eastAsia="pl-PL"/>
        </w:rPr>
        <w:t>;</w:t>
      </w:r>
    </w:p>
    <w:p w:rsidR="00535E34" w:rsidRDefault="0072263A" w:rsidP="00CA5A97">
      <w:pPr>
        <w:pStyle w:val="Akapitzlist"/>
        <w:numPr>
          <w:ilvl w:val="0"/>
          <w:numId w:val="21"/>
        </w:numPr>
        <w:spacing w:before="60"/>
        <w:contextualSpacing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co najmniej </w:t>
      </w:r>
      <w:r w:rsidR="0092079D">
        <w:rPr>
          <w:rFonts w:eastAsia="Times New Roman"/>
          <w:szCs w:val="20"/>
          <w:lang w:eastAsia="pl-PL"/>
        </w:rPr>
        <w:t>0,5 etatu –</w:t>
      </w:r>
      <w:r w:rsidR="00CA5A97">
        <w:rPr>
          <w:rFonts w:eastAsia="Times New Roman"/>
          <w:szCs w:val="20"/>
          <w:lang w:eastAsia="pl-PL"/>
        </w:rPr>
        <w:t xml:space="preserve"> </w:t>
      </w:r>
      <w:r w:rsidR="0092079D">
        <w:rPr>
          <w:rFonts w:eastAsia="Times New Roman"/>
          <w:szCs w:val="20"/>
          <w:lang w:eastAsia="pl-PL"/>
        </w:rPr>
        <w:t>w przypadku osób z orzeczonym umiarkowanym</w:t>
      </w:r>
      <w:r w:rsidR="00535E34">
        <w:rPr>
          <w:rFonts w:eastAsia="Times New Roman"/>
          <w:szCs w:val="20"/>
          <w:lang w:eastAsia="pl-PL"/>
        </w:rPr>
        <w:t xml:space="preserve"> stopniem niepełnosprawności lub osób </w:t>
      </w:r>
      <w:r w:rsidR="00535E34" w:rsidRPr="00535E34">
        <w:rPr>
          <w:rFonts w:eastAsia="Times New Roman"/>
          <w:szCs w:val="20"/>
          <w:lang w:eastAsia="pl-PL"/>
        </w:rPr>
        <w:t xml:space="preserve">posiadających orzeczenie o lekkim stopniu niepełnosprawności z uwagi na </w:t>
      </w:r>
      <w:r w:rsidR="00E45C0F">
        <w:rPr>
          <w:rFonts w:eastAsia="Times New Roman"/>
          <w:szCs w:val="20"/>
          <w:lang w:eastAsia="pl-PL"/>
        </w:rPr>
        <w:t>niepełnosprawność intelektualną</w:t>
      </w:r>
      <w:r w:rsidR="00535E34">
        <w:rPr>
          <w:rFonts w:eastAsia="Times New Roman"/>
          <w:szCs w:val="20"/>
          <w:lang w:eastAsia="pl-PL"/>
        </w:rPr>
        <w:t>;</w:t>
      </w:r>
    </w:p>
    <w:p w:rsidR="00535E34" w:rsidRDefault="00535E34" w:rsidP="00535E34">
      <w:pPr>
        <w:pStyle w:val="Akapitzlist"/>
        <w:numPr>
          <w:ilvl w:val="0"/>
          <w:numId w:val="21"/>
        </w:numPr>
        <w:spacing w:before="60"/>
        <w:contextualSpacing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co najmniej 0,75 etatu – w przypadku osób </w:t>
      </w:r>
      <w:r w:rsidRPr="00535E34">
        <w:rPr>
          <w:rFonts w:eastAsia="Times New Roman"/>
          <w:szCs w:val="20"/>
          <w:lang w:eastAsia="pl-PL"/>
        </w:rPr>
        <w:t xml:space="preserve">z orzeczonym </w:t>
      </w:r>
      <w:r>
        <w:rPr>
          <w:rFonts w:eastAsia="Times New Roman"/>
          <w:szCs w:val="20"/>
          <w:lang w:eastAsia="pl-PL"/>
        </w:rPr>
        <w:t xml:space="preserve">lekkim </w:t>
      </w:r>
      <w:r w:rsidRPr="00535E34">
        <w:rPr>
          <w:rFonts w:eastAsia="Times New Roman"/>
          <w:szCs w:val="20"/>
          <w:lang w:eastAsia="pl-PL"/>
        </w:rPr>
        <w:t>stopniem niepełnosprawności</w:t>
      </w:r>
      <w:r>
        <w:rPr>
          <w:rFonts w:eastAsia="Times New Roman"/>
          <w:szCs w:val="20"/>
          <w:lang w:eastAsia="pl-PL"/>
        </w:rPr>
        <w:t>.</w:t>
      </w:r>
    </w:p>
    <w:p w:rsidR="00694C77" w:rsidRDefault="00694C77" w:rsidP="00EF63E3">
      <w:pPr>
        <w:pStyle w:val="Akapitzlist"/>
        <w:numPr>
          <w:ilvl w:val="0"/>
          <w:numId w:val="12"/>
        </w:numPr>
        <w:spacing w:before="80"/>
        <w:contextualSpacing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U</w:t>
      </w:r>
      <w:r w:rsidRPr="00694C77">
        <w:rPr>
          <w:rFonts w:eastAsia="Times New Roman"/>
          <w:szCs w:val="20"/>
          <w:lang w:eastAsia="pl-PL"/>
        </w:rPr>
        <w:t>dział osób niepełnosprawnych z</w:t>
      </w:r>
      <w:r>
        <w:rPr>
          <w:rFonts w:eastAsia="Times New Roman"/>
          <w:szCs w:val="20"/>
          <w:lang w:eastAsia="pl-PL"/>
        </w:rPr>
        <w:t xml:space="preserve"> </w:t>
      </w:r>
      <w:r w:rsidRPr="00694C77">
        <w:rPr>
          <w:rFonts w:eastAsia="Times New Roman"/>
          <w:szCs w:val="20"/>
          <w:lang w:eastAsia="pl-PL"/>
        </w:rPr>
        <w:t xml:space="preserve">orzeczonym lekkim stopniem niepełnosprawności </w:t>
      </w:r>
      <w:r w:rsidR="0092079D">
        <w:rPr>
          <w:rFonts w:eastAsia="Times New Roman"/>
          <w:szCs w:val="20"/>
          <w:lang w:eastAsia="pl-PL"/>
        </w:rPr>
        <w:t xml:space="preserve">będzie mógł </w:t>
      </w:r>
      <w:r w:rsidRPr="00694C77">
        <w:rPr>
          <w:rFonts w:eastAsia="Times New Roman"/>
          <w:szCs w:val="20"/>
          <w:lang w:eastAsia="pl-PL"/>
        </w:rPr>
        <w:t>stanowić nie więcej niż 10% ogółu beneficjentów ostatecznych projektu (warunek nie dotyczy</w:t>
      </w:r>
      <w:r>
        <w:rPr>
          <w:rFonts w:eastAsia="Times New Roman"/>
          <w:szCs w:val="20"/>
          <w:lang w:eastAsia="pl-PL"/>
        </w:rPr>
        <w:t>łby</w:t>
      </w:r>
      <w:r w:rsidRPr="00694C77">
        <w:rPr>
          <w:rFonts w:eastAsia="Times New Roman"/>
          <w:szCs w:val="20"/>
          <w:lang w:eastAsia="pl-PL"/>
        </w:rPr>
        <w:t xml:space="preserve"> osób posiadających orzeczenie o lekkim stopniu niepełnosprawności, wydane z uwagi na </w:t>
      </w:r>
      <w:r w:rsidR="00E45C0F" w:rsidRPr="00E45C0F">
        <w:rPr>
          <w:rFonts w:eastAsia="Times New Roman"/>
          <w:szCs w:val="20"/>
          <w:lang w:eastAsia="pl-PL"/>
        </w:rPr>
        <w:t>niepełnosprawność intelektualną</w:t>
      </w:r>
      <w:r w:rsidRPr="00694C77">
        <w:rPr>
          <w:rFonts w:eastAsia="Times New Roman"/>
          <w:szCs w:val="20"/>
          <w:lang w:eastAsia="pl-PL"/>
        </w:rPr>
        <w:t xml:space="preserve">). </w:t>
      </w:r>
      <w:r>
        <w:rPr>
          <w:rFonts w:eastAsia="Times New Roman"/>
          <w:szCs w:val="20"/>
          <w:lang w:eastAsia="pl-PL"/>
        </w:rPr>
        <w:t>U</w:t>
      </w:r>
      <w:r w:rsidRPr="00694C77">
        <w:rPr>
          <w:rFonts w:eastAsia="Times New Roman"/>
          <w:szCs w:val="20"/>
          <w:lang w:eastAsia="pl-PL"/>
        </w:rPr>
        <w:t>dział osób niepełnosprawnych z</w:t>
      </w:r>
      <w:r>
        <w:rPr>
          <w:rFonts w:eastAsia="Times New Roman"/>
          <w:szCs w:val="20"/>
          <w:lang w:eastAsia="pl-PL"/>
        </w:rPr>
        <w:t xml:space="preserve"> </w:t>
      </w:r>
      <w:r w:rsidRPr="00694C77">
        <w:rPr>
          <w:rFonts w:eastAsia="Times New Roman"/>
          <w:szCs w:val="20"/>
          <w:lang w:eastAsia="pl-PL"/>
        </w:rPr>
        <w:t xml:space="preserve">orzeczonym </w:t>
      </w:r>
      <w:r>
        <w:rPr>
          <w:rFonts w:eastAsia="Times New Roman"/>
          <w:szCs w:val="20"/>
          <w:lang w:eastAsia="pl-PL"/>
        </w:rPr>
        <w:t xml:space="preserve">znacznym </w:t>
      </w:r>
      <w:r w:rsidRPr="00694C77">
        <w:rPr>
          <w:rFonts w:eastAsia="Times New Roman"/>
          <w:szCs w:val="20"/>
          <w:lang w:eastAsia="pl-PL"/>
        </w:rPr>
        <w:t xml:space="preserve">stopniem niepełnosprawności </w:t>
      </w:r>
      <w:r w:rsidR="0092079D">
        <w:rPr>
          <w:rFonts w:eastAsia="Times New Roman"/>
          <w:szCs w:val="20"/>
          <w:lang w:eastAsia="pl-PL"/>
        </w:rPr>
        <w:t xml:space="preserve">będzie musiał </w:t>
      </w:r>
      <w:r w:rsidRPr="00694C77">
        <w:rPr>
          <w:rFonts w:eastAsia="Times New Roman"/>
          <w:szCs w:val="20"/>
          <w:lang w:eastAsia="pl-PL"/>
        </w:rPr>
        <w:t xml:space="preserve">stanowić </w:t>
      </w:r>
      <w:r>
        <w:rPr>
          <w:rFonts w:eastAsia="Times New Roman"/>
          <w:szCs w:val="20"/>
          <w:lang w:eastAsia="pl-PL"/>
        </w:rPr>
        <w:t xml:space="preserve">co najmniej </w:t>
      </w:r>
      <w:r w:rsidR="005D284C">
        <w:rPr>
          <w:rFonts w:eastAsia="Times New Roman"/>
          <w:szCs w:val="20"/>
          <w:lang w:eastAsia="pl-PL"/>
        </w:rPr>
        <w:t>2</w:t>
      </w:r>
      <w:r>
        <w:rPr>
          <w:rFonts w:eastAsia="Times New Roman"/>
          <w:szCs w:val="20"/>
          <w:lang w:eastAsia="pl-PL"/>
        </w:rPr>
        <w:t>5</w:t>
      </w:r>
      <w:r w:rsidRPr="00694C77">
        <w:rPr>
          <w:rFonts w:eastAsia="Times New Roman"/>
          <w:szCs w:val="20"/>
          <w:lang w:eastAsia="pl-PL"/>
        </w:rPr>
        <w:t>% ogółu beneficjentów ostatecznych projektu</w:t>
      </w:r>
      <w:r w:rsidR="00E2235A">
        <w:rPr>
          <w:rFonts w:eastAsia="Times New Roman"/>
          <w:szCs w:val="20"/>
          <w:lang w:eastAsia="pl-PL"/>
        </w:rPr>
        <w:t>.</w:t>
      </w:r>
      <w:r w:rsidRPr="00694C77">
        <w:rPr>
          <w:rFonts w:eastAsia="Times New Roman"/>
          <w:szCs w:val="20"/>
          <w:lang w:eastAsia="pl-PL"/>
        </w:rPr>
        <w:t xml:space="preserve"> </w:t>
      </w:r>
      <w:r w:rsidR="00EC59F9" w:rsidRPr="00EC59F9">
        <w:rPr>
          <w:rFonts w:eastAsia="Times New Roman"/>
          <w:szCs w:val="20"/>
          <w:lang w:eastAsia="pl-PL"/>
        </w:rPr>
        <w:t xml:space="preserve">Wymóg udziału </w:t>
      </w:r>
      <w:r w:rsidR="00EC59F9">
        <w:rPr>
          <w:rFonts w:eastAsia="Times New Roman"/>
          <w:szCs w:val="20"/>
          <w:lang w:eastAsia="pl-PL"/>
        </w:rPr>
        <w:t xml:space="preserve">co najmniej </w:t>
      </w:r>
      <w:r w:rsidR="00EC59F9" w:rsidRPr="00EC59F9">
        <w:rPr>
          <w:rFonts w:eastAsia="Times New Roman"/>
          <w:szCs w:val="20"/>
          <w:lang w:eastAsia="pl-PL"/>
        </w:rPr>
        <w:t xml:space="preserve">25% osób z orzeczonym znacznym stopniem niepełnosprawności </w:t>
      </w:r>
      <w:r w:rsidR="00EC59F9" w:rsidRPr="00EC59F9">
        <w:rPr>
          <w:rFonts w:eastAsia="Times New Roman"/>
          <w:szCs w:val="20"/>
          <w:lang w:eastAsia="pl-PL"/>
        </w:rPr>
        <w:lastRenderedPageBreak/>
        <w:t>będzie ulegać obniżeniu proporcjonalnie do udziału osób niepełnosprawnych z</w:t>
      </w:r>
      <w:r w:rsidR="00EF63E3">
        <w:rPr>
          <w:rFonts w:eastAsia="Times New Roman"/>
          <w:szCs w:val="20"/>
          <w:lang w:eastAsia="pl-PL"/>
        </w:rPr>
        <w:t> </w:t>
      </w:r>
      <w:r w:rsidR="00EC59F9" w:rsidRPr="00EC59F9">
        <w:rPr>
          <w:rFonts w:eastAsia="Times New Roman"/>
          <w:szCs w:val="20"/>
          <w:lang w:eastAsia="pl-PL"/>
        </w:rPr>
        <w:t>orzeczonym umiarkowanym stopniem niepełnosprawności, o</w:t>
      </w:r>
      <w:r w:rsidR="00EF63E3">
        <w:rPr>
          <w:rFonts w:eastAsia="Times New Roman"/>
          <w:szCs w:val="20"/>
          <w:lang w:eastAsia="pl-PL"/>
        </w:rPr>
        <w:t xml:space="preserve"> </w:t>
      </w:r>
      <w:r w:rsidR="00EC59F9" w:rsidRPr="00EC59F9">
        <w:rPr>
          <w:rFonts w:eastAsia="Times New Roman"/>
          <w:szCs w:val="20"/>
          <w:lang w:eastAsia="pl-PL"/>
        </w:rPr>
        <w:t>których mowa w art.</w:t>
      </w:r>
      <w:r w:rsidR="00EC59F9">
        <w:rPr>
          <w:rFonts w:eastAsia="Times New Roman"/>
          <w:szCs w:val="20"/>
          <w:lang w:eastAsia="pl-PL"/>
        </w:rPr>
        <w:t> </w:t>
      </w:r>
      <w:r w:rsidR="00EC59F9" w:rsidRPr="00EC59F9">
        <w:rPr>
          <w:rFonts w:eastAsia="Times New Roman"/>
          <w:szCs w:val="20"/>
          <w:lang w:eastAsia="pl-PL"/>
        </w:rPr>
        <w:t>26a ust.</w:t>
      </w:r>
      <w:r w:rsidR="00EC59F9">
        <w:rPr>
          <w:rFonts w:eastAsia="Times New Roman"/>
          <w:szCs w:val="20"/>
          <w:lang w:eastAsia="pl-PL"/>
        </w:rPr>
        <w:t> </w:t>
      </w:r>
      <w:r w:rsidR="00EC59F9" w:rsidRPr="00EC59F9">
        <w:rPr>
          <w:rFonts w:eastAsia="Times New Roman"/>
          <w:szCs w:val="20"/>
          <w:lang w:eastAsia="pl-PL"/>
        </w:rPr>
        <w:t>1b ustawy o rehabilitacji</w:t>
      </w:r>
      <w:r w:rsidR="00EC59F9">
        <w:rPr>
          <w:rFonts w:eastAsia="Times New Roman"/>
          <w:szCs w:val="20"/>
          <w:lang w:eastAsia="pl-PL"/>
        </w:rPr>
        <w:t xml:space="preserve"> </w:t>
      </w:r>
      <w:r w:rsidR="00EF63E3">
        <w:rPr>
          <w:rFonts w:eastAsia="Times New Roman"/>
          <w:szCs w:val="20"/>
          <w:lang w:eastAsia="pl-PL"/>
        </w:rPr>
        <w:t>(</w:t>
      </w:r>
      <w:r w:rsidR="00EF63E3" w:rsidRPr="00EF63E3">
        <w:rPr>
          <w:rFonts w:eastAsia="Times New Roman"/>
          <w:szCs w:val="20"/>
          <w:lang w:eastAsia="pl-PL"/>
        </w:rPr>
        <w:t>w odniesieniu do których orzeczono chorobę psychiczną, upośledzenie umysłowe, całościowe zaburzenia rozwojowe lub epilepsję oraz niewidomych</w:t>
      </w:r>
      <w:r w:rsidR="00EF63E3">
        <w:rPr>
          <w:rFonts w:eastAsia="Times New Roman"/>
          <w:szCs w:val="20"/>
          <w:lang w:eastAsia="pl-PL"/>
        </w:rPr>
        <w:t>)</w:t>
      </w:r>
      <w:r w:rsidR="00EC59F9" w:rsidRPr="00EC59F9">
        <w:rPr>
          <w:rFonts w:eastAsia="Times New Roman"/>
          <w:szCs w:val="20"/>
          <w:lang w:eastAsia="pl-PL"/>
        </w:rPr>
        <w:t xml:space="preserve">. </w:t>
      </w:r>
      <w:r w:rsidR="00EC59F9">
        <w:rPr>
          <w:rFonts w:eastAsia="Times New Roman"/>
          <w:szCs w:val="20"/>
          <w:lang w:eastAsia="pl-PL"/>
        </w:rPr>
        <w:t xml:space="preserve">Wskazane powyżej </w:t>
      </w:r>
      <w:r w:rsidR="00EC59F9" w:rsidRPr="00694C77">
        <w:rPr>
          <w:rFonts w:eastAsia="Times New Roman"/>
          <w:szCs w:val="20"/>
          <w:lang w:eastAsia="pl-PL"/>
        </w:rPr>
        <w:t>procentow</w:t>
      </w:r>
      <w:r w:rsidR="00EC59F9">
        <w:rPr>
          <w:rFonts w:eastAsia="Times New Roman"/>
          <w:szCs w:val="20"/>
          <w:lang w:eastAsia="pl-PL"/>
        </w:rPr>
        <w:t>e</w:t>
      </w:r>
      <w:r w:rsidR="00EC59F9" w:rsidRPr="00694C77">
        <w:rPr>
          <w:rFonts w:eastAsia="Times New Roman"/>
          <w:szCs w:val="20"/>
          <w:lang w:eastAsia="pl-PL"/>
        </w:rPr>
        <w:t xml:space="preserve"> wskaźnik</w:t>
      </w:r>
      <w:r w:rsidR="00EC59F9">
        <w:rPr>
          <w:rFonts w:eastAsia="Times New Roman"/>
          <w:szCs w:val="20"/>
          <w:lang w:eastAsia="pl-PL"/>
        </w:rPr>
        <w:t>i</w:t>
      </w:r>
      <w:r w:rsidR="00EC59F9" w:rsidRPr="00694C77">
        <w:rPr>
          <w:rFonts w:eastAsia="Times New Roman"/>
          <w:szCs w:val="20"/>
          <w:lang w:eastAsia="pl-PL"/>
        </w:rPr>
        <w:t xml:space="preserve"> </w:t>
      </w:r>
      <w:r w:rsidR="00EC59F9">
        <w:rPr>
          <w:rFonts w:eastAsia="Times New Roman"/>
          <w:szCs w:val="20"/>
          <w:lang w:eastAsia="pl-PL"/>
        </w:rPr>
        <w:t xml:space="preserve">będą odnosiły się </w:t>
      </w:r>
      <w:r w:rsidR="00EC59F9" w:rsidRPr="00694C77">
        <w:rPr>
          <w:rFonts w:eastAsia="Times New Roman"/>
          <w:szCs w:val="20"/>
          <w:lang w:eastAsia="pl-PL"/>
        </w:rPr>
        <w:t xml:space="preserve">do </w:t>
      </w:r>
      <w:r w:rsidR="00EC59F9">
        <w:rPr>
          <w:rFonts w:eastAsia="Times New Roman"/>
          <w:szCs w:val="20"/>
          <w:lang w:eastAsia="pl-PL"/>
        </w:rPr>
        <w:t>pierwszego okresu realizacji projektu.</w:t>
      </w:r>
    </w:p>
    <w:p w:rsidR="00FE5C7B" w:rsidRPr="00E2235A" w:rsidRDefault="00FE5C7B" w:rsidP="005D6227">
      <w:pPr>
        <w:pStyle w:val="Akapitzlist"/>
        <w:numPr>
          <w:ilvl w:val="0"/>
          <w:numId w:val="12"/>
        </w:numPr>
        <w:spacing w:before="80"/>
        <w:contextualSpacing w:val="0"/>
        <w:jc w:val="both"/>
        <w:rPr>
          <w:rFonts w:eastAsia="Times New Roman"/>
          <w:szCs w:val="20"/>
          <w:lang w:eastAsia="pl-PL"/>
        </w:rPr>
      </w:pPr>
      <w:r w:rsidRPr="00C74FFE">
        <w:t xml:space="preserve">Ta sama osoba nie </w:t>
      </w:r>
      <w:r>
        <w:t xml:space="preserve">będzie mogła </w:t>
      </w:r>
      <w:r w:rsidRPr="00C74FFE">
        <w:t xml:space="preserve">zostać objęta wsparciem w ramach kilku równocześnie realizowanych projektów dofinansowanych ze środków </w:t>
      </w:r>
      <w:r w:rsidR="00EF63E3">
        <w:t>publicznych</w:t>
      </w:r>
      <w:r>
        <w:t>,</w:t>
      </w:r>
      <w:r w:rsidRPr="00C74FFE">
        <w:t xml:space="preserve"> jeżeli cele realizacji </w:t>
      </w:r>
      <w:r>
        <w:t xml:space="preserve">tych projektów zakładają osiągnięcie takich samych rezultatów. </w:t>
      </w:r>
      <w:r w:rsidRPr="00C74FFE">
        <w:t>Pod pojęciem „równoczesnej realizacji projektów”, uważa się sytuację, w której terminy realizacji poszczególnych projektów</w:t>
      </w:r>
      <w:r>
        <w:t xml:space="preserve"> </w:t>
      </w:r>
      <w:r w:rsidRPr="00C74FFE">
        <w:t>pokrywają się w zakresie co</w:t>
      </w:r>
      <w:r>
        <w:t> </w:t>
      </w:r>
      <w:r w:rsidRPr="00C74FFE">
        <w:t>najmniej 1 dnia kalendarzowego</w:t>
      </w:r>
      <w:r>
        <w:t>.</w:t>
      </w:r>
    </w:p>
    <w:p w:rsidR="00F067CA" w:rsidRDefault="00C82F34" w:rsidP="00EF63E3">
      <w:pPr>
        <w:spacing w:before="360" w:after="120"/>
        <w:ind w:left="567" w:hanging="567"/>
        <w:rPr>
          <w:b/>
        </w:rPr>
      </w:pPr>
      <w:r>
        <w:rPr>
          <w:b/>
        </w:rPr>
        <w:t>V</w:t>
      </w:r>
      <w:r w:rsidR="00EF63E3">
        <w:rPr>
          <w:b/>
        </w:rPr>
        <w:t>I</w:t>
      </w:r>
      <w:r>
        <w:rPr>
          <w:b/>
        </w:rPr>
        <w:t>I.</w:t>
      </w:r>
      <w:r>
        <w:rPr>
          <w:b/>
        </w:rPr>
        <w:tab/>
      </w:r>
      <w:r w:rsidR="00F067CA" w:rsidRPr="00F067CA">
        <w:rPr>
          <w:b/>
        </w:rPr>
        <w:t>Zasięg terytorialny projektów</w:t>
      </w:r>
    </w:p>
    <w:p w:rsidR="00F067CA" w:rsidRDefault="00F067CA" w:rsidP="00E2235A">
      <w:pPr>
        <w:jc w:val="both"/>
        <w:rPr>
          <w:szCs w:val="26"/>
        </w:rPr>
      </w:pPr>
      <w:r>
        <w:rPr>
          <w:szCs w:val="26"/>
        </w:rPr>
        <w:t xml:space="preserve">W </w:t>
      </w:r>
      <w:r w:rsidR="00306697">
        <w:rPr>
          <w:szCs w:val="26"/>
        </w:rPr>
        <w:t xml:space="preserve">ramach konkursu dopuszczona zostanie możliwość </w:t>
      </w:r>
      <w:r>
        <w:rPr>
          <w:szCs w:val="26"/>
        </w:rPr>
        <w:t>zgłaszan</w:t>
      </w:r>
      <w:r w:rsidR="00306697">
        <w:rPr>
          <w:szCs w:val="26"/>
        </w:rPr>
        <w:t xml:space="preserve">ia </w:t>
      </w:r>
      <w:r>
        <w:rPr>
          <w:szCs w:val="26"/>
        </w:rPr>
        <w:t>p</w:t>
      </w:r>
      <w:r w:rsidRPr="00C74FFE">
        <w:rPr>
          <w:szCs w:val="26"/>
        </w:rPr>
        <w:t>rojekt</w:t>
      </w:r>
      <w:r w:rsidR="00306697">
        <w:rPr>
          <w:szCs w:val="26"/>
        </w:rPr>
        <w:t>ów</w:t>
      </w:r>
      <w:r w:rsidRPr="00C74FFE">
        <w:rPr>
          <w:szCs w:val="26"/>
        </w:rPr>
        <w:t xml:space="preserve"> </w:t>
      </w:r>
      <w:r>
        <w:rPr>
          <w:szCs w:val="26"/>
        </w:rPr>
        <w:t xml:space="preserve">o </w:t>
      </w:r>
      <w:r w:rsidRPr="00C74FFE">
        <w:rPr>
          <w:szCs w:val="26"/>
        </w:rPr>
        <w:t>charakter</w:t>
      </w:r>
      <w:r>
        <w:rPr>
          <w:szCs w:val="26"/>
        </w:rPr>
        <w:t>ze</w:t>
      </w:r>
      <w:r w:rsidRPr="00C74FFE">
        <w:rPr>
          <w:szCs w:val="26"/>
        </w:rPr>
        <w:t xml:space="preserve"> </w:t>
      </w:r>
      <w:r w:rsidRPr="00F067CA">
        <w:rPr>
          <w:szCs w:val="26"/>
        </w:rPr>
        <w:t xml:space="preserve">lokalnym, regionalnym, </w:t>
      </w:r>
      <w:r w:rsidRPr="00C74FFE">
        <w:rPr>
          <w:szCs w:val="26"/>
        </w:rPr>
        <w:t>ponadregionalny</w:t>
      </w:r>
      <w:r>
        <w:rPr>
          <w:szCs w:val="26"/>
        </w:rPr>
        <w:t>m</w:t>
      </w:r>
      <w:r w:rsidRPr="00C74FFE">
        <w:rPr>
          <w:szCs w:val="26"/>
        </w:rPr>
        <w:t xml:space="preserve"> lub ogólnopolski</w:t>
      </w:r>
      <w:r>
        <w:rPr>
          <w:szCs w:val="26"/>
        </w:rPr>
        <w:t>m</w:t>
      </w:r>
      <w:r w:rsidRPr="00C74FFE">
        <w:rPr>
          <w:szCs w:val="26"/>
        </w:rPr>
        <w:t>.</w:t>
      </w:r>
    </w:p>
    <w:p w:rsidR="005B48B4" w:rsidRPr="007348ED" w:rsidRDefault="00C82F34" w:rsidP="00EF63E3">
      <w:pPr>
        <w:spacing w:before="360" w:after="120"/>
        <w:ind w:left="680" w:hanging="680"/>
        <w:rPr>
          <w:b/>
        </w:rPr>
      </w:pPr>
      <w:r>
        <w:rPr>
          <w:b/>
        </w:rPr>
        <w:t>VI</w:t>
      </w:r>
      <w:r w:rsidR="00EF63E3">
        <w:rPr>
          <w:b/>
        </w:rPr>
        <w:t>I</w:t>
      </w:r>
      <w:r>
        <w:rPr>
          <w:b/>
        </w:rPr>
        <w:t>I.</w:t>
      </w:r>
      <w:r>
        <w:rPr>
          <w:b/>
        </w:rPr>
        <w:tab/>
      </w:r>
      <w:r w:rsidR="007348ED">
        <w:rPr>
          <w:b/>
        </w:rPr>
        <w:t xml:space="preserve">Termin i zasady </w:t>
      </w:r>
      <w:r w:rsidR="000624D1">
        <w:rPr>
          <w:b/>
        </w:rPr>
        <w:t>składania wniosków</w:t>
      </w:r>
    </w:p>
    <w:p w:rsidR="003E71E0" w:rsidRDefault="003E71E0" w:rsidP="00E2235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Przewidywany termin naboru wniosków w</w:t>
      </w:r>
      <w:r w:rsidR="00C06E9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ramach konkursu: wrzesień 2016 r.</w:t>
      </w:r>
    </w:p>
    <w:p w:rsidR="003E71E0" w:rsidRDefault="003E71E0" w:rsidP="003E71E0">
      <w:pPr>
        <w:spacing w:before="60"/>
        <w:jc w:val="both"/>
        <w:rPr>
          <w:rFonts w:eastAsia="Times New Roman"/>
          <w:lang w:eastAsia="pl-PL"/>
        </w:rPr>
      </w:pPr>
      <w:r w:rsidRPr="00A676C0">
        <w:rPr>
          <w:rFonts w:eastAsia="Times New Roman"/>
          <w:lang w:eastAsia="pl-PL"/>
        </w:rPr>
        <w:t xml:space="preserve">Uprawniony podmiot </w:t>
      </w:r>
      <w:r>
        <w:rPr>
          <w:rFonts w:eastAsia="Times New Roman"/>
          <w:lang w:eastAsia="pl-PL"/>
        </w:rPr>
        <w:t xml:space="preserve">będzie mógł </w:t>
      </w:r>
      <w:r w:rsidRPr="00A676C0">
        <w:rPr>
          <w:rFonts w:eastAsia="Times New Roman"/>
          <w:lang w:eastAsia="pl-PL"/>
        </w:rPr>
        <w:t xml:space="preserve">złożyć w ramach konkursu </w:t>
      </w:r>
      <w:r>
        <w:rPr>
          <w:rFonts w:eastAsia="Times New Roman"/>
          <w:lang w:eastAsia="pl-PL"/>
        </w:rPr>
        <w:t xml:space="preserve">jeden wniosek. </w:t>
      </w:r>
      <w:r w:rsidR="00A676C0" w:rsidRPr="00A676C0">
        <w:rPr>
          <w:rFonts w:eastAsia="Times New Roman"/>
          <w:lang w:eastAsia="pl-PL"/>
        </w:rPr>
        <w:t xml:space="preserve">Wnioski składane </w:t>
      </w:r>
      <w:r w:rsidR="007348ED">
        <w:rPr>
          <w:rFonts w:eastAsia="Times New Roman"/>
          <w:lang w:eastAsia="pl-PL"/>
        </w:rPr>
        <w:t xml:space="preserve">będą </w:t>
      </w:r>
      <w:r w:rsidR="000624D1">
        <w:rPr>
          <w:rFonts w:eastAsia="Times New Roman"/>
          <w:lang w:eastAsia="pl-PL"/>
        </w:rPr>
        <w:t>poprzez Generator wniosków</w:t>
      </w:r>
      <w:r w:rsidR="007754F4">
        <w:rPr>
          <w:rFonts w:eastAsia="Times New Roman"/>
          <w:lang w:eastAsia="pl-PL"/>
        </w:rPr>
        <w:t>.</w:t>
      </w:r>
    </w:p>
    <w:p w:rsidR="00624F8B" w:rsidRDefault="005D284C" w:rsidP="00EF63E3">
      <w:pPr>
        <w:spacing w:before="360" w:after="120"/>
        <w:ind w:left="454" w:hanging="454"/>
        <w:rPr>
          <w:b/>
        </w:rPr>
      </w:pPr>
      <w:r>
        <w:rPr>
          <w:b/>
        </w:rPr>
        <w:t>I</w:t>
      </w:r>
      <w:r w:rsidR="00EF63E3">
        <w:rPr>
          <w:b/>
        </w:rPr>
        <w:t>X</w:t>
      </w:r>
      <w:r w:rsidR="003E71E0">
        <w:rPr>
          <w:b/>
        </w:rPr>
        <w:t>.</w:t>
      </w:r>
      <w:r w:rsidR="003E71E0">
        <w:rPr>
          <w:b/>
        </w:rPr>
        <w:tab/>
      </w:r>
      <w:r w:rsidR="00624F8B" w:rsidRPr="00624F8B">
        <w:rPr>
          <w:b/>
        </w:rPr>
        <w:t>Terminy realizacji projektów</w:t>
      </w:r>
    </w:p>
    <w:p w:rsidR="00F82808" w:rsidRDefault="00624F8B" w:rsidP="00E2235A">
      <w:pPr>
        <w:pStyle w:val="Akapitzlist"/>
        <w:numPr>
          <w:ilvl w:val="0"/>
          <w:numId w:val="23"/>
        </w:numPr>
        <w:contextualSpacing w:val="0"/>
        <w:jc w:val="both"/>
        <w:rPr>
          <w:rFonts w:eastAsia="Times New Roman"/>
          <w:lang w:eastAsia="pl-PL"/>
        </w:rPr>
      </w:pPr>
      <w:r w:rsidRPr="00EC74E0">
        <w:t>Konkurs dotyczy</w:t>
      </w:r>
      <w:r>
        <w:t xml:space="preserve">ć będzie </w:t>
      </w:r>
      <w:r w:rsidRPr="00EC74E0">
        <w:t>projektów</w:t>
      </w:r>
      <w:r w:rsidR="00F82808">
        <w:t xml:space="preserve"> wieloletnich </w:t>
      </w:r>
      <w:r w:rsidRPr="00EC74E0">
        <w:t>realizowanych od dnia 1 stycznia 201</w:t>
      </w:r>
      <w:r>
        <w:t>7</w:t>
      </w:r>
      <w:r w:rsidRPr="00EC74E0">
        <w:t xml:space="preserve"> roku do dnia </w:t>
      </w:r>
      <w:r w:rsidR="00F82808" w:rsidRPr="00F82808">
        <w:t>31 marca 20</w:t>
      </w:r>
      <w:r w:rsidR="005D6227">
        <w:t>19</w:t>
      </w:r>
      <w:r w:rsidR="00F82808" w:rsidRPr="00F82808">
        <w:t xml:space="preserve"> roku</w:t>
      </w:r>
      <w:r w:rsidRPr="00EC74E0">
        <w:t>.</w:t>
      </w:r>
      <w:r>
        <w:t xml:space="preserve"> </w:t>
      </w:r>
      <w:r w:rsidRPr="00C82F34">
        <w:rPr>
          <w:rFonts w:eastAsia="Times New Roman"/>
          <w:lang w:eastAsia="pl-PL"/>
        </w:rPr>
        <w:t xml:space="preserve">W ramach konkursu </w:t>
      </w:r>
      <w:r w:rsidR="00F82808">
        <w:rPr>
          <w:rFonts w:eastAsia="Times New Roman"/>
          <w:lang w:eastAsia="pl-PL"/>
        </w:rPr>
        <w:t xml:space="preserve">Wnioskodawca </w:t>
      </w:r>
      <w:r w:rsidR="00052C8B">
        <w:rPr>
          <w:rFonts w:eastAsia="Times New Roman"/>
          <w:lang w:eastAsia="pl-PL"/>
        </w:rPr>
        <w:t xml:space="preserve">będzie mógł </w:t>
      </w:r>
      <w:r w:rsidR="00F82808">
        <w:rPr>
          <w:rFonts w:eastAsia="Times New Roman"/>
          <w:lang w:eastAsia="pl-PL"/>
        </w:rPr>
        <w:t xml:space="preserve">zgłosić </w:t>
      </w:r>
      <w:r w:rsidR="005D6227">
        <w:rPr>
          <w:rFonts w:eastAsia="Times New Roman"/>
          <w:lang w:eastAsia="pl-PL"/>
        </w:rPr>
        <w:t xml:space="preserve">wyłącznie </w:t>
      </w:r>
      <w:r w:rsidR="00F82808">
        <w:rPr>
          <w:rFonts w:eastAsia="Times New Roman"/>
          <w:lang w:eastAsia="pl-PL"/>
        </w:rPr>
        <w:t>projekt dwuletni.</w:t>
      </w:r>
      <w:r w:rsidR="00FE5C7B" w:rsidRPr="00FE5C7B">
        <w:t xml:space="preserve"> </w:t>
      </w:r>
      <w:r w:rsidR="00FE5C7B" w:rsidRPr="00FE5C7B">
        <w:rPr>
          <w:rFonts w:eastAsia="Times New Roman"/>
          <w:lang w:eastAsia="pl-PL"/>
        </w:rPr>
        <w:t xml:space="preserve">Nie </w:t>
      </w:r>
      <w:r w:rsidR="00FE5C7B">
        <w:rPr>
          <w:rFonts w:eastAsia="Times New Roman"/>
          <w:lang w:eastAsia="pl-PL"/>
        </w:rPr>
        <w:t xml:space="preserve">będzie możliwe </w:t>
      </w:r>
      <w:r w:rsidR="00FE5C7B" w:rsidRPr="00FE5C7B">
        <w:rPr>
          <w:rFonts w:eastAsia="Times New Roman"/>
          <w:lang w:eastAsia="pl-PL"/>
        </w:rPr>
        <w:t>zgłoszenie projektu, którego termin realizacji zawiera</w:t>
      </w:r>
      <w:r w:rsidR="00FE5C7B">
        <w:rPr>
          <w:rFonts w:eastAsia="Times New Roman"/>
          <w:lang w:eastAsia="pl-PL"/>
        </w:rPr>
        <w:t>ć</w:t>
      </w:r>
      <w:r w:rsidR="00FE5C7B" w:rsidRPr="00FE5C7B">
        <w:rPr>
          <w:rFonts w:eastAsia="Times New Roman"/>
          <w:lang w:eastAsia="pl-PL"/>
        </w:rPr>
        <w:t xml:space="preserve"> się </w:t>
      </w:r>
      <w:r w:rsidR="00FE5C7B">
        <w:rPr>
          <w:rFonts w:eastAsia="Times New Roman"/>
          <w:lang w:eastAsia="pl-PL"/>
        </w:rPr>
        <w:t xml:space="preserve">będzie </w:t>
      </w:r>
      <w:r w:rsidR="00FE5C7B" w:rsidRPr="00FE5C7B">
        <w:rPr>
          <w:rFonts w:eastAsia="Times New Roman"/>
          <w:lang w:eastAsia="pl-PL"/>
        </w:rPr>
        <w:t>wyłącznie w pierwszym okresie finansowania</w:t>
      </w:r>
      <w:r w:rsidR="00FE5C7B">
        <w:rPr>
          <w:rFonts w:eastAsia="Times New Roman"/>
          <w:lang w:eastAsia="pl-PL"/>
        </w:rPr>
        <w:t>.</w:t>
      </w:r>
    </w:p>
    <w:p w:rsidR="00C82F34" w:rsidRPr="00C82F34" w:rsidRDefault="005D6227" w:rsidP="005D622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</w:t>
      </w:r>
      <w:r w:rsidR="00F82808" w:rsidRPr="00F82808">
        <w:rPr>
          <w:rFonts w:eastAsia="Times New Roman"/>
          <w:lang w:eastAsia="pl-PL"/>
        </w:rPr>
        <w:t xml:space="preserve">ozpoczęcie realizacji projektu </w:t>
      </w:r>
      <w:r w:rsidR="00F82808">
        <w:rPr>
          <w:rFonts w:eastAsia="Times New Roman"/>
          <w:lang w:eastAsia="pl-PL"/>
        </w:rPr>
        <w:t xml:space="preserve">dwuletniego będzie musiało </w:t>
      </w:r>
      <w:r w:rsidR="00F82808" w:rsidRPr="00F82808">
        <w:rPr>
          <w:rFonts w:eastAsia="Times New Roman"/>
          <w:lang w:eastAsia="pl-PL"/>
        </w:rPr>
        <w:t>nastąpić nie wcześniej niż 1</w:t>
      </w:r>
      <w:r>
        <w:rPr>
          <w:rFonts w:eastAsia="Times New Roman"/>
          <w:lang w:eastAsia="pl-PL"/>
        </w:rPr>
        <w:t> </w:t>
      </w:r>
      <w:r w:rsidR="00F82808" w:rsidRPr="00F82808">
        <w:rPr>
          <w:rFonts w:eastAsia="Times New Roman"/>
          <w:lang w:eastAsia="pl-PL"/>
        </w:rPr>
        <w:t>stycznia 201</w:t>
      </w:r>
      <w:r w:rsidR="00F82808">
        <w:rPr>
          <w:rFonts w:eastAsia="Times New Roman"/>
          <w:lang w:eastAsia="pl-PL"/>
        </w:rPr>
        <w:t>7</w:t>
      </w:r>
      <w:r w:rsidR="00F82808" w:rsidRPr="00F82808">
        <w:rPr>
          <w:rFonts w:eastAsia="Times New Roman"/>
          <w:lang w:eastAsia="pl-PL"/>
        </w:rPr>
        <w:t xml:space="preserve"> roku, a zakończenie realizac</w:t>
      </w:r>
      <w:r w:rsidR="00F82808">
        <w:rPr>
          <w:rFonts w:eastAsia="Times New Roman"/>
          <w:lang w:eastAsia="pl-PL"/>
        </w:rPr>
        <w:t>ji nie później niż 31 marca 2019 roku</w:t>
      </w:r>
      <w:r>
        <w:rPr>
          <w:rFonts w:eastAsia="Times New Roman"/>
          <w:lang w:eastAsia="pl-PL"/>
        </w:rPr>
        <w:t>. P</w:t>
      </w:r>
      <w:r w:rsidR="00F82808">
        <w:rPr>
          <w:rFonts w:eastAsia="Times New Roman"/>
          <w:lang w:eastAsia="pl-PL"/>
        </w:rPr>
        <w:t>rzyjęte zostaną następujące okresy finansowania:</w:t>
      </w:r>
    </w:p>
    <w:p w:rsidR="00F82808" w:rsidRPr="00F82808" w:rsidRDefault="00F82808" w:rsidP="00F82808">
      <w:pPr>
        <w:pStyle w:val="Akapitzlist"/>
        <w:numPr>
          <w:ilvl w:val="0"/>
          <w:numId w:val="24"/>
        </w:numPr>
        <w:spacing w:before="60"/>
        <w:ind w:left="714" w:hanging="357"/>
        <w:contextualSpacing w:val="0"/>
        <w:jc w:val="both"/>
        <w:rPr>
          <w:rFonts w:eastAsia="Times New Roman"/>
          <w:lang w:eastAsia="pl-PL"/>
        </w:rPr>
      </w:pPr>
      <w:r w:rsidRPr="00F82808">
        <w:rPr>
          <w:rFonts w:eastAsia="Times New Roman"/>
          <w:lang w:eastAsia="pl-PL"/>
        </w:rPr>
        <w:t xml:space="preserve">pierwszy okres od 1 stycznia </w:t>
      </w:r>
      <w:r>
        <w:rPr>
          <w:rFonts w:eastAsia="Times New Roman"/>
          <w:lang w:eastAsia="pl-PL"/>
        </w:rPr>
        <w:t xml:space="preserve">2017 roku do 31 marca 2018 roku – </w:t>
      </w:r>
      <w:r w:rsidR="00052C8B">
        <w:rPr>
          <w:rFonts w:eastAsia="Times New Roman"/>
          <w:lang w:eastAsia="pl-PL"/>
        </w:rPr>
        <w:t xml:space="preserve">okres ten obejmuje działania związane z </w:t>
      </w:r>
      <w:r>
        <w:rPr>
          <w:rFonts w:eastAsia="Times New Roman"/>
          <w:lang w:eastAsia="pl-PL"/>
        </w:rPr>
        <w:t>rekrutacj</w:t>
      </w:r>
      <w:r w:rsidR="00052C8B">
        <w:rPr>
          <w:rFonts w:eastAsia="Times New Roman"/>
          <w:lang w:eastAsia="pl-PL"/>
        </w:rPr>
        <w:t>ą</w:t>
      </w:r>
      <w:r>
        <w:rPr>
          <w:rFonts w:eastAsia="Times New Roman"/>
          <w:lang w:eastAsia="pl-PL"/>
        </w:rPr>
        <w:t>, przygotowanie</w:t>
      </w:r>
      <w:r w:rsidR="00052C8B">
        <w:rPr>
          <w:rFonts w:eastAsia="Times New Roman"/>
          <w:lang w:eastAsia="pl-PL"/>
        </w:rPr>
        <w:t>m</w:t>
      </w:r>
      <w:r>
        <w:rPr>
          <w:rFonts w:eastAsia="Times New Roman"/>
          <w:lang w:eastAsia="pl-PL"/>
        </w:rPr>
        <w:t xml:space="preserve"> do zatrudnienia i</w:t>
      </w:r>
      <w:r w:rsidR="00052C8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zatrudnienie</w:t>
      </w:r>
      <w:r w:rsidR="00052C8B">
        <w:rPr>
          <w:rFonts w:eastAsia="Times New Roman"/>
          <w:lang w:eastAsia="pl-PL"/>
        </w:rPr>
        <w:t>m</w:t>
      </w:r>
      <w:r w:rsidR="00052C8B" w:rsidRPr="00052C8B">
        <w:rPr>
          <w:rFonts w:eastAsia="Times New Roman"/>
          <w:lang w:eastAsia="pl-PL"/>
        </w:rPr>
        <w:t xml:space="preserve"> </w:t>
      </w:r>
      <w:r w:rsidR="00052C8B">
        <w:rPr>
          <w:rFonts w:eastAsia="Times New Roman"/>
          <w:lang w:eastAsia="pl-PL"/>
        </w:rPr>
        <w:t>beneficjentów ostatecznych projektu</w:t>
      </w:r>
      <w:r>
        <w:rPr>
          <w:rFonts w:eastAsia="Times New Roman"/>
          <w:lang w:eastAsia="pl-PL"/>
        </w:rPr>
        <w:t>;</w:t>
      </w:r>
    </w:p>
    <w:p w:rsidR="00F82808" w:rsidRPr="00F82808" w:rsidRDefault="00F82808" w:rsidP="00F82808">
      <w:pPr>
        <w:pStyle w:val="Akapitzlist"/>
        <w:numPr>
          <w:ilvl w:val="0"/>
          <w:numId w:val="24"/>
        </w:numPr>
        <w:spacing w:before="60"/>
        <w:ind w:left="714" w:hanging="357"/>
        <w:contextualSpacing w:val="0"/>
        <w:jc w:val="both"/>
        <w:rPr>
          <w:rFonts w:eastAsia="Times New Roman"/>
          <w:lang w:eastAsia="pl-PL"/>
        </w:rPr>
      </w:pPr>
      <w:r w:rsidRPr="00F82808">
        <w:rPr>
          <w:rFonts w:eastAsia="Times New Roman"/>
          <w:lang w:eastAsia="pl-PL"/>
        </w:rPr>
        <w:t xml:space="preserve">drugi okres od 1 kwietnia 2018 roku do 31 marca </w:t>
      </w:r>
      <w:r>
        <w:rPr>
          <w:rFonts w:eastAsia="Times New Roman"/>
          <w:lang w:eastAsia="pl-PL"/>
        </w:rPr>
        <w:t xml:space="preserve">2019 roku (tryb pozakonkursowy) – </w:t>
      </w:r>
      <w:r w:rsidR="00052C8B">
        <w:rPr>
          <w:rFonts w:eastAsia="Times New Roman"/>
          <w:lang w:eastAsia="pl-PL"/>
        </w:rPr>
        <w:t>okres ten obejmuje wyłącznie u</w:t>
      </w:r>
      <w:r>
        <w:rPr>
          <w:rFonts w:eastAsia="Times New Roman"/>
          <w:lang w:eastAsia="pl-PL"/>
        </w:rPr>
        <w:t xml:space="preserve">trzymanie w zatrudnieniu </w:t>
      </w:r>
      <w:r w:rsidR="00052C8B">
        <w:rPr>
          <w:rFonts w:eastAsia="Times New Roman"/>
          <w:lang w:eastAsia="pl-PL"/>
        </w:rPr>
        <w:t>beneficjentów ostatecznych projektu, którzy uzyskali zatrudnienie w pierwszym okresie finansowania projektu.</w:t>
      </w:r>
    </w:p>
    <w:p w:rsidR="00751124" w:rsidRDefault="00751124" w:rsidP="005D622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B0216C">
        <w:rPr>
          <w:rFonts w:eastAsia="Times New Roman"/>
          <w:lang w:eastAsia="pl-PL"/>
        </w:rPr>
        <w:t xml:space="preserve"> składanym w ramach konkursu wniosku </w:t>
      </w:r>
      <w:r w:rsidRPr="00751124">
        <w:rPr>
          <w:rFonts w:eastAsia="Times New Roman"/>
          <w:lang w:eastAsia="pl-PL"/>
        </w:rPr>
        <w:t>Wnioskodawca zamieszcza</w:t>
      </w:r>
      <w:r>
        <w:rPr>
          <w:rFonts w:eastAsia="Times New Roman"/>
          <w:lang w:eastAsia="pl-PL"/>
        </w:rPr>
        <w:t xml:space="preserve">ć będzie </w:t>
      </w:r>
      <w:r w:rsidRPr="00751124">
        <w:rPr>
          <w:rFonts w:eastAsia="Times New Roman"/>
          <w:lang w:eastAsia="pl-PL"/>
        </w:rPr>
        <w:t xml:space="preserve">informacje dotyczące pierwszego okresu realizacji projektu – chyba, że w danym punkcie wniosku przewidziana </w:t>
      </w:r>
      <w:r>
        <w:rPr>
          <w:rFonts w:eastAsia="Times New Roman"/>
          <w:lang w:eastAsia="pl-PL"/>
        </w:rPr>
        <w:t xml:space="preserve">zostanie </w:t>
      </w:r>
      <w:r w:rsidRPr="00751124">
        <w:rPr>
          <w:rFonts w:eastAsia="Times New Roman"/>
          <w:lang w:eastAsia="pl-PL"/>
        </w:rPr>
        <w:t>konieczność podania dodatkowo informacji dotyczących całego okresu realizacji projektu (lub poszczególnych okresów realizacji projektu). Harmonogram realizacji projektu oraz szczegółowy budżet projektu sporządz</w:t>
      </w:r>
      <w:r>
        <w:rPr>
          <w:rFonts w:eastAsia="Times New Roman"/>
          <w:lang w:eastAsia="pl-PL"/>
        </w:rPr>
        <w:t xml:space="preserve">any będzie </w:t>
      </w:r>
      <w:r w:rsidRPr="00751124">
        <w:rPr>
          <w:rFonts w:eastAsia="Times New Roman"/>
          <w:lang w:eastAsia="pl-PL"/>
        </w:rPr>
        <w:t>dla pierwszego okresu realizacji projektu</w:t>
      </w:r>
      <w:r>
        <w:rPr>
          <w:rFonts w:eastAsia="Times New Roman"/>
          <w:lang w:eastAsia="pl-PL"/>
        </w:rPr>
        <w:t>.</w:t>
      </w:r>
    </w:p>
    <w:p w:rsidR="00391400" w:rsidRDefault="00391400" w:rsidP="00391400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Ś</w:t>
      </w:r>
      <w:r w:rsidRPr="00391400">
        <w:rPr>
          <w:rFonts w:eastAsia="Times New Roman"/>
          <w:lang w:eastAsia="pl-PL"/>
        </w:rPr>
        <w:t xml:space="preserve">rodki finansowe PFRON, o których mowa w rozdziale </w:t>
      </w:r>
      <w:r>
        <w:rPr>
          <w:rFonts w:eastAsia="Times New Roman"/>
          <w:lang w:eastAsia="pl-PL"/>
        </w:rPr>
        <w:t>X u</w:t>
      </w:r>
      <w:r w:rsidRPr="00391400">
        <w:rPr>
          <w:rFonts w:eastAsia="Times New Roman"/>
          <w:lang w:eastAsia="pl-PL"/>
        </w:rPr>
        <w:t>st.</w:t>
      </w:r>
      <w:r>
        <w:rPr>
          <w:rFonts w:eastAsia="Times New Roman"/>
          <w:lang w:eastAsia="pl-PL"/>
        </w:rPr>
        <w:t> </w:t>
      </w:r>
      <w:r w:rsidRPr="00391400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 xml:space="preserve"> niniejszych założeń </w:t>
      </w:r>
      <w:r w:rsidRPr="00391400">
        <w:rPr>
          <w:rFonts w:eastAsia="Times New Roman"/>
          <w:lang w:eastAsia="pl-PL"/>
        </w:rPr>
        <w:t xml:space="preserve">przeznaczone </w:t>
      </w:r>
      <w:r>
        <w:rPr>
          <w:rFonts w:eastAsia="Times New Roman"/>
          <w:lang w:eastAsia="pl-PL"/>
        </w:rPr>
        <w:t xml:space="preserve">będą </w:t>
      </w:r>
      <w:r w:rsidRPr="00391400">
        <w:rPr>
          <w:rFonts w:eastAsia="Times New Roman"/>
          <w:lang w:eastAsia="pl-PL"/>
        </w:rPr>
        <w:t>na dofinansowanie kosztów realizacji projektów w pierwszym okresie finansowania.</w:t>
      </w:r>
    </w:p>
    <w:p w:rsidR="00052C8B" w:rsidRDefault="00052C8B" w:rsidP="005D622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rFonts w:eastAsia="Times New Roman"/>
          <w:lang w:eastAsia="pl-PL"/>
        </w:rPr>
      </w:pPr>
      <w:r w:rsidRPr="00052C8B">
        <w:rPr>
          <w:rFonts w:eastAsia="Times New Roman"/>
          <w:lang w:eastAsia="pl-PL"/>
        </w:rPr>
        <w:t>W przypadku zawarcia umowy wieloletniej oraz przyznania dofinansowania na pierwszy okres realizacji projektu (maksymalnie od dnia 1 stycznia 201</w:t>
      </w:r>
      <w:r w:rsidR="00D52B6D">
        <w:rPr>
          <w:rFonts w:eastAsia="Times New Roman"/>
          <w:lang w:eastAsia="pl-PL"/>
        </w:rPr>
        <w:t>7</w:t>
      </w:r>
      <w:r w:rsidR="00E2235A">
        <w:rPr>
          <w:rFonts w:eastAsia="Times New Roman"/>
          <w:lang w:eastAsia="pl-PL"/>
        </w:rPr>
        <w:t xml:space="preserve"> </w:t>
      </w:r>
      <w:r w:rsidRPr="00052C8B">
        <w:rPr>
          <w:rFonts w:eastAsia="Times New Roman"/>
          <w:lang w:eastAsia="pl-PL"/>
        </w:rPr>
        <w:t>r</w:t>
      </w:r>
      <w:r w:rsidR="00E2235A">
        <w:rPr>
          <w:rFonts w:eastAsia="Times New Roman"/>
          <w:lang w:eastAsia="pl-PL"/>
        </w:rPr>
        <w:t xml:space="preserve">oku </w:t>
      </w:r>
      <w:r w:rsidRPr="00052C8B">
        <w:rPr>
          <w:rFonts w:eastAsia="Times New Roman"/>
          <w:lang w:eastAsia="pl-PL"/>
        </w:rPr>
        <w:t>do 31 marca 201</w:t>
      </w:r>
      <w:r w:rsidR="00D52B6D">
        <w:rPr>
          <w:rFonts w:eastAsia="Times New Roman"/>
          <w:lang w:eastAsia="pl-PL"/>
        </w:rPr>
        <w:t>8</w:t>
      </w:r>
      <w:r w:rsidR="00751124">
        <w:rPr>
          <w:rFonts w:eastAsia="Times New Roman"/>
          <w:lang w:eastAsia="pl-PL"/>
        </w:rPr>
        <w:t xml:space="preserve"> </w:t>
      </w:r>
      <w:r w:rsidRPr="00052C8B">
        <w:rPr>
          <w:rFonts w:eastAsia="Times New Roman"/>
          <w:lang w:eastAsia="pl-PL"/>
        </w:rPr>
        <w:t>r</w:t>
      </w:r>
      <w:r w:rsidR="00E2235A">
        <w:rPr>
          <w:rFonts w:eastAsia="Times New Roman"/>
          <w:lang w:eastAsia="pl-PL"/>
        </w:rPr>
        <w:t>oku</w:t>
      </w:r>
      <w:r w:rsidRPr="00052C8B">
        <w:rPr>
          <w:rFonts w:eastAsia="Times New Roman"/>
          <w:lang w:eastAsia="pl-PL"/>
        </w:rPr>
        <w:t xml:space="preserve">), Wnioskodawca </w:t>
      </w:r>
      <w:r w:rsidR="00D52B6D" w:rsidRPr="00D52B6D">
        <w:rPr>
          <w:rFonts w:eastAsia="Times New Roman"/>
          <w:lang w:eastAsia="pl-PL"/>
        </w:rPr>
        <w:t xml:space="preserve">w </w:t>
      </w:r>
      <w:r w:rsidR="005D6227">
        <w:rPr>
          <w:rFonts w:eastAsia="Times New Roman"/>
          <w:lang w:eastAsia="pl-PL"/>
        </w:rPr>
        <w:t xml:space="preserve">drugim okresie </w:t>
      </w:r>
      <w:r w:rsidR="00D52B6D" w:rsidRPr="00D52B6D">
        <w:rPr>
          <w:rFonts w:eastAsia="Times New Roman"/>
          <w:lang w:eastAsia="pl-PL"/>
        </w:rPr>
        <w:t>realizacji projektu składa</w:t>
      </w:r>
      <w:r w:rsidR="00D52B6D">
        <w:rPr>
          <w:rFonts w:eastAsia="Times New Roman"/>
          <w:lang w:eastAsia="pl-PL"/>
        </w:rPr>
        <w:t xml:space="preserve">ć będzie </w:t>
      </w:r>
      <w:r w:rsidRPr="00052C8B">
        <w:rPr>
          <w:rFonts w:eastAsia="Times New Roman"/>
          <w:lang w:eastAsia="pl-PL"/>
        </w:rPr>
        <w:t xml:space="preserve">do PFRON </w:t>
      </w:r>
      <w:r w:rsidR="00391400">
        <w:rPr>
          <w:rFonts w:eastAsia="Times New Roman"/>
          <w:lang w:eastAsia="pl-PL"/>
        </w:rPr>
        <w:t>(</w:t>
      </w:r>
      <w:r w:rsidRPr="00052C8B">
        <w:rPr>
          <w:rFonts w:eastAsia="Times New Roman"/>
          <w:lang w:eastAsia="pl-PL"/>
        </w:rPr>
        <w:t>w</w:t>
      </w:r>
      <w:r w:rsidR="00E2235A">
        <w:rPr>
          <w:rFonts w:eastAsia="Times New Roman"/>
          <w:lang w:eastAsia="pl-PL"/>
        </w:rPr>
        <w:t> </w:t>
      </w:r>
      <w:r w:rsidRPr="00052C8B">
        <w:rPr>
          <w:rFonts w:eastAsia="Times New Roman"/>
          <w:lang w:eastAsia="pl-PL"/>
        </w:rPr>
        <w:t>trybie pozakonkursowym</w:t>
      </w:r>
      <w:r w:rsidR="00391400">
        <w:rPr>
          <w:rFonts w:eastAsia="Times New Roman"/>
          <w:lang w:eastAsia="pl-PL"/>
        </w:rPr>
        <w:t>)</w:t>
      </w:r>
      <w:r w:rsidRPr="00052C8B">
        <w:rPr>
          <w:rFonts w:eastAsia="Times New Roman"/>
          <w:lang w:eastAsia="pl-PL"/>
        </w:rPr>
        <w:t xml:space="preserve"> zaktualizowany wniosek. Zaktualizowany wniosek zawiera</w:t>
      </w:r>
      <w:r w:rsidR="00D52B6D">
        <w:rPr>
          <w:rFonts w:eastAsia="Times New Roman"/>
          <w:lang w:eastAsia="pl-PL"/>
        </w:rPr>
        <w:t xml:space="preserve">ć będzie </w:t>
      </w:r>
      <w:r w:rsidRPr="00052C8B">
        <w:rPr>
          <w:rFonts w:eastAsia="Times New Roman"/>
          <w:lang w:eastAsia="pl-PL"/>
        </w:rPr>
        <w:t xml:space="preserve">m.in. szczegółowy budżet projektu dotyczący </w:t>
      </w:r>
      <w:r w:rsidR="005D6227">
        <w:rPr>
          <w:rFonts w:eastAsia="Times New Roman"/>
          <w:lang w:eastAsia="pl-PL"/>
        </w:rPr>
        <w:t>drugiego</w:t>
      </w:r>
      <w:r w:rsidR="00D52B6D">
        <w:rPr>
          <w:rFonts w:eastAsia="Times New Roman"/>
          <w:lang w:eastAsia="pl-PL"/>
        </w:rPr>
        <w:t xml:space="preserve"> </w:t>
      </w:r>
      <w:r w:rsidRPr="00052C8B">
        <w:rPr>
          <w:rFonts w:eastAsia="Times New Roman"/>
          <w:lang w:eastAsia="pl-PL"/>
        </w:rPr>
        <w:t xml:space="preserve">okresu realizacji projektu. Kwota dofinansowania wnioskowana na </w:t>
      </w:r>
      <w:r w:rsidR="005D6227">
        <w:rPr>
          <w:rFonts w:eastAsia="Times New Roman"/>
          <w:lang w:eastAsia="pl-PL"/>
        </w:rPr>
        <w:t>drugi</w:t>
      </w:r>
      <w:r w:rsidR="00D52B6D">
        <w:rPr>
          <w:rFonts w:eastAsia="Times New Roman"/>
          <w:lang w:eastAsia="pl-PL"/>
        </w:rPr>
        <w:t xml:space="preserve"> </w:t>
      </w:r>
      <w:r w:rsidRPr="00052C8B">
        <w:rPr>
          <w:rFonts w:eastAsia="Times New Roman"/>
          <w:lang w:eastAsia="pl-PL"/>
        </w:rPr>
        <w:t xml:space="preserve">okres nie </w:t>
      </w:r>
      <w:r w:rsidR="00D52B6D">
        <w:rPr>
          <w:rFonts w:eastAsia="Times New Roman"/>
          <w:lang w:eastAsia="pl-PL"/>
        </w:rPr>
        <w:t xml:space="preserve">będzie mogła być </w:t>
      </w:r>
      <w:r w:rsidRPr="00052C8B">
        <w:rPr>
          <w:rFonts w:eastAsia="Times New Roman"/>
          <w:lang w:eastAsia="pl-PL"/>
        </w:rPr>
        <w:t>wyższa od kwoty zaplanowanej na ten okres we wniosku składanym w</w:t>
      </w:r>
      <w:r w:rsidR="00391400">
        <w:rPr>
          <w:rFonts w:eastAsia="Times New Roman"/>
          <w:lang w:eastAsia="pl-PL"/>
        </w:rPr>
        <w:t xml:space="preserve"> </w:t>
      </w:r>
      <w:r w:rsidRPr="00052C8B">
        <w:rPr>
          <w:rFonts w:eastAsia="Times New Roman"/>
          <w:lang w:eastAsia="pl-PL"/>
        </w:rPr>
        <w:t>ramach konkursu. Zaktualizowany wniosek podlega</w:t>
      </w:r>
      <w:r w:rsidR="00D52B6D">
        <w:rPr>
          <w:rFonts w:eastAsia="Times New Roman"/>
          <w:lang w:eastAsia="pl-PL"/>
        </w:rPr>
        <w:t xml:space="preserve">ć będzie </w:t>
      </w:r>
      <w:r w:rsidRPr="00052C8B">
        <w:rPr>
          <w:rFonts w:eastAsia="Times New Roman"/>
          <w:lang w:eastAsia="pl-PL"/>
        </w:rPr>
        <w:t xml:space="preserve">ocenie </w:t>
      </w:r>
      <w:r w:rsidR="00E2235A">
        <w:rPr>
          <w:rFonts w:eastAsia="Times New Roman"/>
          <w:lang w:eastAsia="pl-PL"/>
        </w:rPr>
        <w:t xml:space="preserve">pod względem </w:t>
      </w:r>
      <w:r w:rsidRPr="00052C8B">
        <w:rPr>
          <w:rFonts w:eastAsia="Times New Roman"/>
          <w:lang w:eastAsia="pl-PL"/>
        </w:rPr>
        <w:t>formaln</w:t>
      </w:r>
      <w:r w:rsidR="00E2235A">
        <w:rPr>
          <w:rFonts w:eastAsia="Times New Roman"/>
          <w:lang w:eastAsia="pl-PL"/>
        </w:rPr>
        <w:t>ym</w:t>
      </w:r>
      <w:r w:rsidRPr="00052C8B">
        <w:rPr>
          <w:rFonts w:eastAsia="Times New Roman"/>
          <w:lang w:eastAsia="pl-PL"/>
        </w:rPr>
        <w:t xml:space="preserve"> oraz merytoryczn</w:t>
      </w:r>
      <w:r w:rsidR="00E2235A">
        <w:rPr>
          <w:rFonts w:eastAsia="Times New Roman"/>
          <w:lang w:eastAsia="pl-PL"/>
        </w:rPr>
        <w:t>ym</w:t>
      </w:r>
      <w:r w:rsidRPr="00052C8B">
        <w:rPr>
          <w:rFonts w:eastAsia="Times New Roman"/>
          <w:lang w:eastAsia="pl-PL"/>
        </w:rPr>
        <w:t>.</w:t>
      </w:r>
    </w:p>
    <w:p w:rsidR="00624F8B" w:rsidRDefault="003E71E0" w:rsidP="00E2235A">
      <w:pPr>
        <w:spacing w:before="360" w:after="120"/>
        <w:ind w:left="454" w:hanging="454"/>
        <w:jc w:val="both"/>
        <w:rPr>
          <w:b/>
        </w:rPr>
      </w:pPr>
      <w:r>
        <w:rPr>
          <w:b/>
        </w:rPr>
        <w:t>X.</w:t>
      </w:r>
      <w:r>
        <w:rPr>
          <w:b/>
        </w:rPr>
        <w:tab/>
      </w:r>
      <w:r w:rsidR="00624F8B" w:rsidRPr="00624F8B">
        <w:rPr>
          <w:b/>
        </w:rPr>
        <w:t>Wysokoś</w:t>
      </w:r>
      <w:r w:rsidR="007D71B2">
        <w:rPr>
          <w:b/>
        </w:rPr>
        <w:t>ć</w:t>
      </w:r>
      <w:r w:rsidR="00624F8B" w:rsidRPr="00624F8B">
        <w:rPr>
          <w:b/>
        </w:rPr>
        <w:t xml:space="preserve"> środków przeznaczonych na realizację projektów zgłoszonych w</w:t>
      </w:r>
      <w:r>
        <w:rPr>
          <w:b/>
        </w:rPr>
        <w:t> </w:t>
      </w:r>
      <w:r w:rsidR="00624F8B" w:rsidRPr="00624F8B">
        <w:rPr>
          <w:b/>
        </w:rPr>
        <w:t>konkurs</w:t>
      </w:r>
      <w:r w:rsidR="00624F8B">
        <w:rPr>
          <w:b/>
        </w:rPr>
        <w:t>ie</w:t>
      </w:r>
    </w:p>
    <w:p w:rsidR="00624F8B" w:rsidRDefault="000624D1" w:rsidP="005D6227">
      <w:pPr>
        <w:pStyle w:val="Akapitzlist"/>
        <w:numPr>
          <w:ilvl w:val="0"/>
          <w:numId w:val="30"/>
        </w:numPr>
        <w:ind w:left="357" w:hanging="357"/>
        <w:contextualSpacing w:val="0"/>
        <w:jc w:val="both"/>
      </w:pPr>
      <w:r w:rsidRPr="00EC74E0">
        <w:t>Planowana wysokość środków na dofinansowanie realizacji projektów zgłoszonych w konkurs</w:t>
      </w:r>
      <w:r w:rsidR="00306697">
        <w:t>ie</w:t>
      </w:r>
      <w:r w:rsidRPr="00EC74E0">
        <w:t xml:space="preserve"> </w:t>
      </w:r>
      <w:r w:rsidR="00306697" w:rsidRPr="00BB5A61">
        <w:t>wynosić będzie 2</w:t>
      </w:r>
      <w:r w:rsidRPr="00BB5A61">
        <w:t>0.000.000 zł.</w:t>
      </w:r>
    </w:p>
    <w:p w:rsidR="00782641" w:rsidRDefault="00782641" w:rsidP="005D6227">
      <w:pPr>
        <w:pStyle w:val="Akapitzlist"/>
        <w:numPr>
          <w:ilvl w:val="0"/>
          <w:numId w:val="30"/>
        </w:numPr>
        <w:spacing w:before="120"/>
        <w:ind w:left="357" w:hanging="357"/>
        <w:contextualSpacing w:val="0"/>
        <w:jc w:val="both"/>
      </w:pPr>
      <w:r w:rsidRPr="005D6227">
        <w:t>Warunkiem podejmowania decyzji finansowych w ramach konkursu będzie posiadanie przez PFRON, w planie finansowym PFRON na 2017 r., środków finansowych na realizację zadania ustawowego określonego w art. 36 ustawy o rehabilitacji.</w:t>
      </w:r>
    </w:p>
    <w:p w:rsidR="005D6227" w:rsidRPr="005D6227" w:rsidRDefault="00C06E91" w:rsidP="005D6227">
      <w:pPr>
        <w:pStyle w:val="Akapitzlist"/>
        <w:numPr>
          <w:ilvl w:val="0"/>
          <w:numId w:val="30"/>
        </w:numPr>
        <w:spacing w:before="120"/>
        <w:ind w:left="357" w:hanging="357"/>
        <w:contextualSpacing w:val="0"/>
        <w:jc w:val="both"/>
      </w:pPr>
      <w:r w:rsidRPr="00694C79">
        <w:t xml:space="preserve">W </w:t>
      </w:r>
      <w:r>
        <w:t xml:space="preserve">sytuacji gdy, </w:t>
      </w:r>
      <w:r w:rsidRPr="00EC74E0">
        <w:t xml:space="preserve">suma kwot wnioskowanych wykazanych w projektach </w:t>
      </w:r>
      <w:r>
        <w:t>które uzyskały pozytywną ocenę merytoryczną komisji konkursowej będzie wyższa od kwoty określonej w ust. 1</w:t>
      </w:r>
      <w:r w:rsidRPr="00EC74E0">
        <w:t xml:space="preserve">, Zarząd PFRON </w:t>
      </w:r>
      <w:r>
        <w:t>będzie mógł podjąć decyzję o zwiększeniu wysokości środków finansowych PFRON na realizację konkursu.</w:t>
      </w:r>
    </w:p>
    <w:p w:rsidR="00C6189F" w:rsidRDefault="003E71E0" w:rsidP="00EF63E3">
      <w:pPr>
        <w:spacing w:before="360" w:after="120"/>
        <w:ind w:left="567" w:hanging="567"/>
        <w:rPr>
          <w:b/>
        </w:rPr>
      </w:pPr>
      <w:r>
        <w:rPr>
          <w:b/>
        </w:rPr>
        <w:t>X</w:t>
      </w:r>
      <w:r w:rsidR="00EF63E3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C6189F">
        <w:rPr>
          <w:b/>
        </w:rPr>
        <w:t>Wkład własny</w:t>
      </w:r>
      <w:r w:rsidR="007D71B2">
        <w:rPr>
          <w:b/>
        </w:rPr>
        <w:t xml:space="preserve"> Wnioskodawcy</w:t>
      </w:r>
    </w:p>
    <w:p w:rsidR="00C6189F" w:rsidRPr="00C6189F" w:rsidRDefault="00C6189F" w:rsidP="00E2235A">
      <w:pPr>
        <w:numPr>
          <w:ilvl w:val="0"/>
          <w:numId w:val="1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Wymagany w konkursie wkład własny Wnioskodawcy </w:t>
      </w:r>
      <w:r w:rsidRPr="00C6189F">
        <w:rPr>
          <w:rFonts w:eastAsia="Times New Roman"/>
          <w:lang w:eastAsia="pl-PL"/>
        </w:rPr>
        <w:t>wynosi</w:t>
      </w:r>
      <w:r>
        <w:rPr>
          <w:rFonts w:eastAsia="Times New Roman"/>
          <w:lang w:eastAsia="pl-PL"/>
        </w:rPr>
        <w:t>ć</w:t>
      </w:r>
      <w:r w:rsidRPr="00C6189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będzie </w:t>
      </w:r>
      <w:r w:rsidRPr="00C6189F">
        <w:rPr>
          <w:rFonts w:eastAsia="Times New Roman"/>
          <w:lang w:eastAsia="pl-PL"/>
        </w:rPr>
        <w:t xml:space="preserve">co najmniej 10% kosztów kwalifikowalnych poniesionych w ramach </w:t>
      </w:r>
      <w:r>
        <w:rPr>
          <w:rFonts w:eastAsia="Times New Roman"/>
          <w:lang w:eastAsia="pl-PL"/>
        </w:rPr>
        <w:t>projektu,</w:t>
      </w:r>
      <w:r w:rsidRPr="00C6189F">
        <w:rPr>
          <w:rFonts w:eastAsia="Times New Roman"/>
          <w:lang w:eastAsia="pl-PL"/>
        </w:rPr>
        <w:t xml:space="preserve"> z</w:t>
      </w:r>
      <w:r>
        <w:rPr>
          <w:rFonts w:eastAsia="Times New Roman"/>
          <w:lang w:eastAsia="pl-PL"/>
        </w:rPr>
        <w:t xml:space="preserve"> </w:t>
      </w:r>
      <w:r w:rsidRPr="00C6189F">
        <w:rPr>
          <w:rFonts w:eastAsia="Times New Roman"/>
          <w:lang w:eastAsia="pl-PL"/>
        </w:rPr>
        <w:t xml:space="preserve">zastrzeżeniem iż wymagane minimum wkładu własnego </w:t>
      </w:r>
      <w:r>
        <w:rPr>
          <w:rFonts w:eastAsia="Times New Roman"/>
          <w:lang w:eastAsia="pl-PL"/>
        </w:rPr>
        <w:t xml:space="preserve">będzie mogło </w:t>
      </w:r>
      <w:r w:rsidRPr="00C6189F">
        <w:rPr>
          <w:rFonts w:eastAsia="Times New Roman"/>
          <w:lang w:eastAsia="pl-PL"/>
        </w:rPr>
        <w:t>być wniesione wyłącznie w</w:t>
      </w:r>
      <w:r>
        <w:rPr>
          <w:rFonts w:eastAsia="Times New Roman"/>
          <w:lang w:eastAsia="pl-PL"/>
        </w:rPr>
        <w:t> </w:t>
      </w:r>
      <w:r w:rsidRPr="00C6189F">
        <w:rPr>
          <w:rFonts w:eastAsia="Times New Roman"/>
          <w:lang w:eastAsia="pl-PL"/>
        </w:rPr>
        <w:t>postaci:</w:t>
      </w:r>
    </w:p>
    <w:p w:rsidR="00C6189F" w:rsidRPr="00C6189F" w:rsidRDefault="00C6189F" w:rsidP="00C6189F">
      <w:pPr>
        <w:numPr>
          <w:ilvl w:val="0"/>
          <w:numId w:val="15"/>
        </w:numPr>
        <w:spacing w:before="60"/>
        <w:jc w:val="both"/>
        <w:rPr>
          <w:rFonts w:eastAsia="Times New Roman"/>
          <w:lang w:eastAsia="pl-PL"/>
        </w:rPr>
      </w:pPr>
      <w:r w:rsidRPr="00C6189F">
        <w:rPr>
          <w:rFonts w:eastAsia="Times New Roman"/>
          <w:lang w:eastAsia="pl-PL"/>
        </w:rPr>
        <w:t>wkładu finansowego ze źródeł niepublicznych (tj. niepochodzącego z sektora finansów publicznych), lub</w:t>
      </w:r>
    </w:p>
    <w:p w:rsidR="00C6189F" w:rsidRPr="00C6189F" w:rsidRDefault="00C6189F" w:rsidP="00C6189F">
      <w:pPr>
        <w:numPr>
          <w:ilvl w:val="0"/>
          <w:numId w:val="15"/>
        </w:numPr>
        <w:spacing w:before="60"/>
        <w:jc w:val="both"/>
        <w:rPr>
          <w:rFonts w:eastAsia="Times New Roman"/>
          <w:lang w:eastAsia="pl-PL"/>
        </w:rPr>
      </w:pPr>
      <w:r w:rsidRPr="00C6189F">
        <w:rPr>
          <w:rFonts w:eastAsia="Times New Roman"/>
          <w:lang w:eastAsia="pl-PL"/>
        </w:rPr>
        <w:t>wkładu niefinansowego osobow</w:t>
      </w:r>
      <w:r>
        <w:rPr>
          <w:rFonts w:eastAsia="Times New Roman"/>
          <w:lang w:eastAsia="pl-PL"/>
        </w:rPr>
        <w:t>ego (świadczenie wolontariusza).</w:t>
      </w:r>
    </w:p>
    <w:p w:rsidR="00C6189F" w:rsidRPr="00C6189F" w:rsidRDefault="00C6189F" w:rsidP="00C6189F">
      <w:pPr>
        <w:numPr>
          <w:ilvl w:val="0"/>
          <w:numId w:val="17"/>
        </w:numPr>
        <w:spacing w:before="120"/>
        <w:jc w:val="both"/>
        <w:rPr>
          <w:rFonts w:eastAsia="Times New Roman"/>
          <w:lang w:eastAsia="pl-PL"/>
        </w:rPr>
      </w:pPr>
      <w:r w:rsidRPr="00C6189F">
        <w:rPr>
          <w:rFonts w:eastAsia="Times New Roman"/>
          <w:lang w:eastAsia="pl-PL"/>
        </w:rPr>
        <w:t xml:space="preserve">Jeżeli Wnioskodawca </w:t>
      </w:r>
      <w:r>
        <w:rPr>
          <w:rFonts w:eastAsia="Times New Roman"/>
          <w:lang w:eastAsia="pl-PL"/>
        </w:rPr>
        <w:t xml:space="preserve">będzie </w:t>
      </w:r>
      <w:r w:rsidRPr="00C6189F">
        <w:rPr>
          <w:rFonts w:eastAsia="Times New Roman"/>
          <w:lang w:eastAsia="pl-PL"/>
        </w:rPr>
        <w:t>wnosi</w:t>
      </w:r>
      <w:r>
        <w:rPr>
          <w:rFonts w:eastAsia="Times New Roman"/>
          <w:lang w:eastAsia="pl-PL"/>
        </w:rPr>
        <w:t>ć</w:t>
      </w:r>
      <w:r w:rsidRPr="00C6189F">
        <w:rPr>
          <w:rFonts w:eastAsia="Times New Roman"/>
          <w:lang w:eastAsia="pl-PL"/>
        </w:rPr>
        <w:t xml:space="preserve"> do realizacji projektu wkład własny powyżej m</w:t>
      </w:r>
      <w:r>
        <w:rPr>
          <w:rFonts w:eastAsia="Times New Roman"/>
          <w:lang w:eastAsia="pl-PL"/>
        </w:rPr>
        <w:t xml:space="preserve">inimalnej procentowej wysokości, </w:t>
      </w:r>
      <w:r w:rsidRPr="00C6189F">
        <w:rPr>
          <w:rFonts w:eastAsia="Times New Roman"/>
          <w:lang w:eastAsia="pl-PL"/>
        </w:rPr>
        <w:t xml:space="preserve">wówczas pozostała część wkładu własnego (tj. powyżej wymaganego minimum) </w:t>
      </w:r>
      <w:r>
        <w:rPr>
          <w:rFonts w:eastAsia="Times New Roman"/>
          <w:lang w:eastAsia="pl-PL"/>
        </w:rPr>
        <w:t xml:space="preserve">będzie mogła </w:t>
      </w:r>
      <w:r w:rsidRPr="00C6189F">
        <w:rPr>
          <w:rFonts w:eastAsia="Times New Roman"/>
          <w:lang w:eastAsia="pl-PL"/>
        </w:rPr>
        <w:t>być wniesiona w postaci:</w:t>
      </w:r>
    </w:p>
    <w:p w:rsidR="00C6189F" w:rsidRPr="00C6189F" w:rsidRDefault="00C6189F" w:rsidP="00C6189F">
      <w:pPr>
        <w:numPr>
          <w:ilvl w:val="0"/>
          <w:numId w:val="16"/>
        </w:numPr>
        <w:spacing w:before="60"/>
        <w:jc w:val="both"/>
        <w:rPr>
          <w:rFonts w:eastAsia="Times New Roman"/>
          <w:lang w:eastAsia="pl-PL"/>
        </w:rPr>
      </w:pPr>
      <w:r w:rsidRPr="00C6189F">
        <w:rPr>
          <w:rFonts w:eastAsia="Times New Roman"/>
          <w:lang w:eastAsia="pl-PL"/>
        </w:rPr>
        <w:t>wkładu finansowego ze źródeł niepublicznych, lub</w:t>
      </w:r>
    </w:p>
    <w:p w:rsidR="00C6189F" w:rsidRPr="00C6189F" w:rsidRDefault="00C6189F" w:rsidP="00C6189F">
      <w:pPr>
        <w:numPr>
          <w:ilvl w:val="0"/>
          <w:numId w:val="16"/>
        </w:numPr>
        <w:spacing w:before="60"/>
        <w:jc w:val="both"/>
        <w:rPr>
          <w:rFonts w:eastAsia="Times New Roman"/>
          <w:lang w:eastAsia="pl-PL"/>
        </w:rPr>
      </w:pPr>
      <w:r w:rsidRPr="00C6189F">
        <w:rPr>
          <w:rFonts w:eastAsia="Times New Roman"/>
          <w:lang w:eastAsia="pl-PL"/>
        </w:rPr>
        <w:t>wkładu finansowego ze źródeł publicznych (innych niż PFRON), lub</w:t>
      </w:r>
    </w:p>
    <w:p w:rsidR="00C6189F" w:rsidRDefault="00C6189F" w:rsidP="00C6189F">
      <w:pPr>
        <w:numPr>
          <w:ilvl w:val="0"/>
          <w:numId w:val="16"/>
        </w:numPr>
        <w:spacing w:before="60"/>
        <w:jc w:val="both"/>
        <w:rPr>
          <w:rFonts w:eastAsia="Times New Roman"/>
          <w:lang w:eastAsia="pl-PL"/>
        </w:rPr>
      </w:pPr>
      <w:r w:rsidRPr="00C6189F">
        <w:rPr>
          <w:rFonts w:eastAsia="Times New Roman"/>
          <w:lang w:eastAsia="pl-PL"/>
        </w:rPr>
        <w:t>wkładu niefinansowego osobowego.</w:t>
      </w:r>
    </w:p>
    <w:p w:rsidR="00EF63E3" w:rsidRDefault="00EF63E3" w:rsidP="00EF63E3">
      <w:pPr>
        <w:jc w:val="both"/>
        <w:rPr>
          <w:rFonts w:eastAsia="Times New Roman"/>
          <w:lang w:eastAsia="pl-PL"/>
        </w:rPr>
      </w:pPr>
    </w:p>
    <w:p w:rsidR="00EF63E3" w:rsidRDefault="00EF63E3" w:rsidP="00EF63E3">
      <w:pPr>
        <w:jc w:val="both"/>
        <w:rPr>
          <w:rFonts w:eastAsia="Times New Roman"/>
          <w:lang w:eastAsia="pl-PL"/>
        </w:rPr>
      </w:pPr>
    </w:p>
    <w:p w:rsidR="00EF63E3" w:rsidRDefault="00EF63E3" w:rsidP="00EF63E3">
      <w:pPr>
        <w:jc w:val="both"/>
        <w:rPr>
          <w:rFonts w:eastAsia="Times New Roman"/>
          <w:lang w:eastAsia="pl-PL"/>
        </w:rPr>
      </w:pPr>
    </w:p>
    <w:p w:rsidR="00EF63E3" w:rsidRPr="00C6189F" w:rsidRDefault="00EF63E3" w:rsidP="00EF63E3">
      <w:pPr>
        <w:jc w:val="both"/>
        <w:rPr>
          <w:rFonts w:eastAsia="Times New Roman"/>
          <w:lang w:eastAsia="pl-PL"/>
        </w:rPr>
      </w:pPr>
    </w:p>
    <w:p w:rsidR="000624D1" w:rsidRPr="000624D1" w:rsidRDefault="003E71E0" w:rsidP="00EF63E3">
      <w:pPr>
        <w:spacing w:before="360" w:after="120"/>
        <w:ind w:left="567" w:hanging="567"/>
        <w:rPr>
          <w:b/>
        </w:rPr>
      </w:pPr>
      <w:r>
        <w:rPr>
          <w:b/>
        </w:rPr>
        <w:lastRenderedPageBreak/>
        <w:t>X</w:t>
      </w:r>
      <w:r w:rsidR="00EF63E3">
        <w:rPr>
          <w:b/>
        </w:rPr>
        <w:t>I</w:t>
      </w:r>
      <w:r>
        <w:rPr>
          <w:b/>
        </w:rPr>
        <w:t>I.</w:t>
      </w:r>
      <w:r>
        <w:rPr>
          <w:b/>
        </w:rPr>
        <w:tab/>
      </w:r>
      <w:r w:rsidR="000624D1" w:rsidRPr="000624D1">
        <w:rPr>
          <w:b/>
        </w:rPr>
        <w:t>Wskaźniki ewaluacji projektów</w:t>
      </w:r>
    </w:p>
    <w:p w:rsidR="000624D1" w:rsidRPr="005050AA" w:rsidRDefault="000624D1" w:rsidP="00E2235A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pl-PL"/>
        </w:rPr>
      </w:pPr>
      <w:r w:rsidRPr="005050AA">
        <w:rPr>
          <w:rFonts w:eastAsia="Times New Roman"/>
          <w:lang w:eastAsia="pl-PL"/>
        </w:rPr>
        <w:t>Ustalone będą następujące konstrukcje wskaźników ewaluacji:</w:t>
      </w:r>
    </w:p>
    <w:p w:rsidR="000624D1" w:rsidRPr="000624D1" w:rsidRDefault="000624D1" w:rsidP="004B02E3">
      <w:pPr>
        <w:numPr>
          <w:ilvl w:val="0"/>
          <w:numId w:val="11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0624D1">
        <w:rPr>
          <w:rFonts w:eastAsia="Times New Roman"/>
          <w:szCs w:val="26"/>
          <w:lang w:eastAsia="pl-PL"/>
        </w:rPr>
        <w:t>pierwszy wskaźnik nakładu – koszt jednej godziny wsparcia, tj. iloraz kwoty dofinansowania oraz liczby godzin wsparcia udzielonego;</w:t>
      </w:r>
    </w:p>
    <w:p w:rsidR="000624D1" w:rsidRPr="000624D1" w:rsidRDefault="000624D1" w:rsidP="004B02E3">
      <w:pPr>
        <w:numPr>
          <w:ilvl w:val="0"/>
          <w:numId w:val="11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0624D1">
        <w:rPr>
          <w:rFonts w:eastAsia="Times New Roman"/>
          <w:szCs w:val="26"/>
          <w:lang w:eastAsia="pl-PL"/>
        </w:rPr>
        <w:t>drugi wskaźnik nakładu – iloraz kwoty dofinansowania oraz liczby beneficjentów ostatecznych projektu, którzy zostaną zatrudnieni w wyniku realizacji projektu;</w:t>
      </w:r>
    </w:p>
    <w:p w:rsidR="000624D1" w:rsidRDefault="000624D1" w:rsidP="004B02E3">
      <w:pPr>
        <w:numPr>
          <w:ilvl w:val="0"/>
          <w:numId w:val="11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0624D1">
        <w:rPr>
          <w:rFonts w:eastAsia="Times New Roman"/>
          <w:szCs w:val="26"/>
          <w:lang w:eastAsia="pl-PL"/>
        </w:rPr>
        <w:t>wskaźnik produktu – średnia liczba godzin wsparcia udzielonego jednemu beneficjentowi ostatecznemu projektu;</w:t>
      </w:r>
    </w:p>
    <w:p w:rsidR="000624D1" w:rsidRPr="000624D1" w:rsidRDefault="000624D1" w:rsidP="004B02E3">
      <w:pPr>
        <w:numPr>
          <w:ilvl w:val="0"/>
          <w:numId w:val="11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0624D1">
        <w:rPr>
          <w:rFonts w:eastAsia="Times New Roman"/>
          <w:szCs w:val="26"/>
          <w:lang w:eastAsia="pl-PL"/>
        </w:rPr>
        <w:t>pierwszy wskaźnik rezultatu – liczba beneficjentów ostatecznych projektu, którzy zostaną zatrudnie</w:t>
      </w:r>
      <w:r>
        <w:rPr>
          <w:rFonts w:eastAsia="Times New Roman"/>
          <w:szCs w:val="26"/>
          <w:lang w:eastAsia="pl-PL"/>
        </w:rPr>
        <w:t>ni w wyniku realizacji projektu;</w:t>
      </w:r>
    </w:p>
    <w:p w:rsidR="005E3333" w:rsidRDefault="000624D1" w:rsidP="004B02E3">
      <w:pPr>
        <w:numPr>
          <w:ilvl w:val="0"/>
          <w:numId w:val="11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0624D1">
        <w:rPr>
          <w:rFonts w:eastAsia="Times New Roman"/>
          <w:szCs w:val="26"/>
          <w:lang w:eastAsia="pl-PL"/>
        </w:rPr>
        <w:t>drugi wskaźnik rezultatu – liczba beneficjentów ostatecznych projektu, którzy utrzymali zatrudnienie przez okres co najmniej 6 miesięcy od daty uzyskania zatrudnienia</w:t>
      </w:r>
      <w:r w:rsidR="005E3333">
        <w:rPr>
          <w:rFonts w:eastAsia="Times New Roman"/>
          <w:szCs w:val="26"/>
          <w:lang w:eastAsia="pl-PL"/>
        </w:rPr>
        <w:t>.</w:t>
      </w:r>
    </w:p>
    <w:p w:rsidR="00C06E91" w:rsidRDefault="00FE11A0" w:rsidP="00C06E91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rFonts w:eastAsia="Times New Roman"/>
          <w:szCs w:val="26"/>
          <w:lang w:eastAsia="pl-PL"/>
        </w:rPr>
      </w:pPr>
      <w:r w:rsidRPr="001A614D">
        <w:rPr>
          <w:szCs w:val="26"/>
        </w:rPr>
        <w:t xml:space="preserve">Projekty zgłaszane </w:t>
      </w:r>
      <w:r w:rsidR="004B02E3">
        <w:rPr>
          <w:szCs w:val="26"/>
        </w:rPr>
        <w:t xml:space="preserve">w ramach </w:t>
      </w:r>
      <w:r w:rsidRPr="001A614D">
        <w:rPr>
          <w:szCs w:val="26"/>
        </w:rPr>
        <w:t xml:space="preserve">konkursu </w:t>
      </w:r>
      <w:r w:rsidR="004B02E3">
        <w:rPr>
          <w:szCs w:val="26"/>
        </w:rPr>
        <w:t xml:space="preserve">będą musiały </w:t>
      </w:r>
      <w:r w:rsidRPr="001A614D">
        <w:rPr>
          <w:szCs w:val="26"/>
        </w:rPr>
        <w:t xml:space="preserve">zakładać osiągnięcie drugiego wskaźnika rezultatu na poziomie nie </w:t>
      </w:r>
      <w:r w:rsidR="005E3333" w:rsidRPr="001A614D">
        <w:rPr>
          <w:rFonts w:eastAsia="Times New Roman"/>
          <w:szCs w:val="26"/>
          <w:lang w:eastAsia="pl-PL"/>
        </w:rPr>
        <w:t>mniejszy</w:t>
      </w:r>
      <w:r w:rsidRPr="001A614D">
        <w:rPr>
          <w:rFonts w:eastAsia="Times New Roman"/>
          <w:szCs w:val="26"/>
          <w:lang w:eastAsia="pl-PL"/>
        </w:rPr>
        <w:t>m</w:t>
      </w:r>
      <w:r w:rsidR="005E3333" w:rsidRPr="001A614D">
        <w:rPr>
          <w:rFonts w:eastAsia="Times New Roman"/>
          <w:szCs w:val="26"/>
          <w:lang w:eastAsia="pl-PL"/>
        </w:rPr>
        <w:t xml:space="preserve"> niż 2</w:t>
      </w:r>
      <w:r w:rsidR="006954C2">
        <w:rPr>
          <w:rFonts w:eastAsia="Times New Roman"/>
          <w:szCs w:val="26"/>
          <w:lang w:eastAsia="pl-PL"/>
        </w:rPr>
        <w:t>5</w:t>
      </w:r>
      <w:r w:rsidR="005E3333" w:rsidRPr="001A614D">
        <w:rPr>
          <w:rFonts w:eastAsia="Times New Roman"/>
          <w:szCs w:val="26"/>
          <w:lang w:eastAsia="pl-PL"/>
        </w:rPr>
        <w:t>% beneficjentów ostatecznych projektu</w:t>
      </w:r>
      <w:r w:rsidR="000624D1" w:rsidRPr="001A614D">
        <w:rPr>
          <w:rFonts w:eastAsia="Times New Roman"/>
          <w:szCs w:val="26"/>
          <w:lang w:eastAsia="pl-PL"/>
        </w:rPr>
        <w:t>.</w:t>
      </w:r>
      <w:r w:rsidR="0063546C" w:rsidRPr="0063546C">
        <w:t xml:space="preserve"> </w:t>
      </w:r>
      <w:r w:rsidR="00751124">
        <w:t>W</w:t>
      </w:r>
      <w:r w:rsidR="0063546C">
        <w:rPr>
          <w:rFonts w:eastAsia="Times New Roman"/>
          <w:szCs w:val="26"/>
          <w:lang w:eastAsia="pl-PL"/>
        </w:rPr>
        <w:t xml:space="preserve">skazany powyżej </w:t>
      </w:r>
      <w:r w:rsidR="0063546C" w:rsidRPr="0063546C">
        <w:rPr>
          <w:rFonts w:eastAsia="Times New Roman"/>
          <w:szCs w:val="26"/>
          <w:lang w:eastAsia="pl-PL"/>
        </w:rPr>
        <w:t>procentowy wskaźnik</w:t>
      </w:r>
      <w:r w:rsidR="006E3000">
        <w:rPr>
          <w:rFonts w:eastAsia="Times New Roman"/>
          <w:szCs w:val="26"/>
          <w:lang w:eastAsia="pl-PL"/>
        </w:rPr>
        <w:t xml:space="preserve"> badany będzie</w:t>
      </w:r>
      <w:r w:rsidR="00C06E91" w:rsidRPr="00C06E91">
        <w:rPr>
          <w:rFonts w:eastAsia="Times New Roman"/>
          <w:szCs w:val="26"/>
          <w:lang w:eastAsia="pl-PL"/>
        </w:rPr>
        <w:t xml:space="preserve"> </w:t>
      </w:r>
      <w:r w:rsidR="00C06E91">
        <w:rPr>
          <w:rFonts w:eastAsia="Times New Roman"/>
          <w:szCs w:val="26"/>
          <w:lang w:eastAsia="pl-PL"/>
        </w:rPr>
        <w:t>nie później niż przed upływem okresu 6 miesięcy od daty zakończenia pierwszego okresu finansowania projektu.</w:t>
      </w:r>
    </w:p>
    <w:p w:rsidR="00535E34" w:rsidRDefault="00535E34" w:rsidP="00535E34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rFonts w:eastAsia="Times New Roman"/>
          <w:lang w:eastAsia="pl-PL"/>
        </w:rPr>
      </w:pPr>
      <w:r w:rsidRPr="00535E34">
        <w:rPr>
          <w:rFonts w:eastAsia="Times New Roman"/>
          <w:lang w:eastAsia="pl-PL"/>
        </w:rPr>
        <w:t xml:space="preserve">W ramach faktycznie osiągniętej wartości drugiego wskaźnika rezultatu </w:t>
      </w:r>
      <w:r w:rsidR="005D6227">
        <w:rPr>
          <w:rFonts w:eastAsia="Times New Roman"/>
          <w:lang w:eastAsia="pl-PL"/>
        </w:rPr>
        <w:t xml:space="preserve">będzie mogła </w:t>
      </w:r>
      <w:r w:rsidRPr="00535E34">
        <w:rPr>
          <w:rFonts w:eastAsia="Times New Roman"/>
          <w:lang w:eastAsia="pl-PL"/>
        </w:rPr>
        <w:t>zostać wykazana osoba niepełnosprawna, której łączny okres zatrudnienia stanowi sumę okresów zatrudnienia u kilku pracodawców – pod warunkiem, iż przerwa pomiędzy poszczególnymi okresami zatrudnienia nie będzie dłuższa niż 30 dni, przy czym czas przerwy nie może być wliczony w okres zatrudnienia.</w:t>
      </w:r>
    </w:p>
    <w:p w:rsidR="00391400" w:rsidRPr="00391400" w:rsidRDefault="00391400" w:rsidP="00391400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Pr="00391400">
        <w:rPr>
          <w:rFonts w:eastAsia="Times New Roman"/>
          <w:lang w:eastAsia="pl-PL"/>
        </w:rPr>
        <w:t xml:space="preserve">mniejszenie wartości </w:t>
      </w:r>
      <w:r>
        <w:rPr>
          <w:rFonts w:eastAsia="Times New Roman"/>
          <w:lang w:eastAsia="pl-PL"/>
        </w:rPr>
        <w:t xml:space="preserve">pierwszego wskaźnika </w:t>
      </w:r>
      <w:r w:rsidRPr="00391400">
        <w:rPr>
          <w:rFonts w:eastAsia="Times New Roman"/>
          <w:lang w:eastAsia="pl-PL"/>
        </w:rPr>
        <w:t xml:space="preserve">rezultatu </w:t>
      </w:r>
      <w:r>
        <w:rPr>
          <w:rFonts w:eastAsia="Times New Roman"/>
          <w:lang w:eastAsia="pl-PL"/>
        </w:rPr>
        <w:t xml:space="preserve">lub wartość drugiego wskaźnika rezultatu będzie skutkowało </w:t>
      </w:r>
      <w:r w:rsidRPr="00391400">
        <w:rPr>
          <w:rFonts w:eastAsia="Times New Roman"/>
          <w:lang w:eastAsia="pl-PL"/>
        </w:rPr>
        <w:t>koniecznością zwrotu do PFRON części dofinansowania.</w:t>
      </w:r>
    </w:p>
    <w:p w:rsidR="006954C2" w:rsidRDefault="006954C2" w:rsidP="00454AD4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</w:t>
      </w:r>
      <w:r w:rsidRPr="006954C2">
        <w:rPr>
          <w:rFonts w:eastAsia="Times New Roman"/>
          <w:lang w:eastAsia="pl-PL"/>
        </w:rPr>
        <w:t>a podstawie odrębnej uchwały Zarządu PFRON Wnioskodawca</w:t>
      </w:r>
      <w:r w:rsidR="006567C3">
        <w:rPr>
          <w:rFonts w:eastAsia="Times New Roman"/>
          <w:lang w:eastAsia="pl-PL"/>
        </w:rPr>
        <w:t xml:space="preserve"> </w:t>
      </w:r>
      <w:r w:rsidRPr="006954C2">
        <w:rPr>
          <w:rFonts w:eastAsia="Times New Roman"/>
          <w:lang w:eastAsia="pl-PL"/>
        </w:rPr>
        <w:t>będzie mógł otrzymać ze środków PFRON zwrot wniesionego wkładu finansowego ze źródeł niepublicznych</w:t>
      </w:r>
      <w:r>
        <w:rPr>
          <w:rFonts w:eastAsia="Times New Roman"/>
          <w:lang w:eastAsia="pl-PL"/>
        </w:rPr>
        <w:t xml:space="preserve">. Wysokości </w:t>
      </w:r>
      <w:r w:rsidR="006567C3">
        <w:rPr>
          <w:rFonts w:eastAsia="Times New Roman"/>
          <w:lang w:eastAsia="pl-PL"/>
        </w:rPr>
        <w:t xml:space="preserve">środków przekazanych tytułem zwrotu wniesionego wkładu własnego nie będzie mogła być wyższa niż </w:t>
      </w:r>
      <w:r w:rsidRPr="006954C2">
        <w:rPr>
          <w:rFonts w:eastAsia="Times New Roman"/>
          <w:lang w:eastAsia="pl-PL"/>
        </w:rPr>
        <w:t>10% kosztów kwalifikowalnych poniesionych w</w:t>
      </w:r>
      <w:r w:rsidR="006567C3">
        <w:rPr>
          <w:rFonts w:eastAsia="Times New Roman"/>
          <w:lang w:eastAsia="pl-PL"/>
        </w:rPr>
        <w:t xml:space="preserve"> </w:t>
      </w:r>
      <w:r w:rsidRPr="006954C2">
        <w:rPr>
          <w:rFonts w:eastAsia="Times New Roman"/>
          <w:lang w:eastAsia="pl-PL"/>
        </w:rPr>
        <w:t>ramach realizacji projektu.</w:t>
      </w:r>
      <w:r>
        <w:rPr>
          <w:rFonts w:eastAsia="Times New Roman"/>
          <w:lang w:eastAsia="pl-PL"/>
        </w:rPr>
        <w:t xml:space="preserve"> </w:t>
      </w:r>
      <w:r w:rsidR="00454AD4">
        <w:rPr>
          <w:rFonts w:eastAsia="Times New Roman"/>
          <w:lang w:eastAsia="pl-PL"/>
        </w:rPr>
        <w:t>Zw</w:t>
      </w:r>
      <w:r w:rsidR="00454AD4" w:rsidRPr="006567C3">
        <w:rPr>
          <w:rFonts w:eastAsia="Times New Roman"/>
          <w:lang w:eastAsia="pl-PL"/>
        </w:rPr>
        <w:t xml:space="preserve">rot wniesionego wkładu </w:t>
      </w:r>
      <w:r w:rsidR="00454AD4">
        <w:rPr>
          <w:rFonts w:eastAsia="Times New Roman"/>
          <w:lang w:eastAsia="pl-PL"/>
        </w:rPr>
        <w:t xml:space="preserve">własnego będzie mógł nastąpić jeżeli wartość drugiego wskaźnika rezultatu po upływie </w:t>
      </w:r>
      <w:r w:rsidR="00454AD4" w:rsidRPr="00454AD4">
        <w:rPr>
          <w:rFonts w:eastAsia="Times New Roman"/>
          <w:lang w:eastAsia="pl-PL"/>
        </w:rPr>
        <w:t>12 miesięcy od daty uzyskania zatrudnienia przez beneficjentów ostatecznych projektu</w:t>
      </w:r>
      <w:r w:rsidR="00454AD4">
        <w:rPr>
          <w:rFonts w:eastAsia="Times New Roman"/>
          <w:lang w:eastAsia="pl-PL"/>
        </w:rPr>
        <w:t xml:space="preserve"> wynosić będzie co najmniej:</w:t>
      </w:r>
    </w:p>
    <w:p w:rsidR="00454AD4" w:rsidRPr="00454AD4" w:rsidRDefault="00454AD4" w:rsidP="00454AD4">
      <w:pPr>
        <w:pStyle w:val="Akapitzlist"/>
        <w:numPr>
          <w:ilvl w:val="0"/>
          <w:numId w:val="22"/>
        </w:numPr>
        <w:spacing w:before="60"/>
        <w:contextualSpacing w:val="0"/>
        <w:jc w:val="both"/>
        <w:rPr>
          <w:rFonts w:eastAsia="Times New Roman"/>
          <w:lang w:eastAsia="pl-PL"/>
        </w:rPr>
      </w:pPr>
      <w:r w:rsidRPr="001A614D">
        <w:rPr>
          <w:rFonts w:eastAsia="Times New Roman"/>
          <w:szCs w:val="26"/>
          <w:lang w:eastAsia="pl-PL"/>
        </w:rPr>
        <w:t>2</w:t>
      </w:r>
      <w:r w:rsidR="000404D6">
        <w:rPr>
          <w:rFonts w:eastAsia="Times New Roman"/>
          <w:szCs w:val="26"/>
          <w:lang w:eastAsia="pl-PL"/>
        </w:rPr>
        <w:t>5</w:t>
      </w:r>
      <w:r w:rsidRPr="001A614D">
        <w:rPr>
          <w:rFonts w:eastAsia="Times New Roman"/>
          <w:szCs w:val="26"/>
          <w:lang w:eastAsia="pl-PL"/>
        </w:rPr>
        <w:t>% beneficjentów ostatecznych projektu</w:t>
      </w:r>
      <w:r>
        <w:rPr>
          <w:rFonts w:eastAsia="Times New Roman"/>
          <w:szCs w:val="26"/>
          <w:lang w:eastAsia="pl-PL"/>
        </w:rPr>
        <w:t xml:space="preserve"> – Wnioskodawca będzie mógł uzyskać zwrot 100% </w:t>
      </w:r>
      <w:r w:rsidRPr="00454AD4">
        <w:rPr>
          <w:rFonts w:eastAsia="Times New Roman"/>
          <w:szCs w:val="26"/>
          <w:lang w:eastAsia="pl-PL"/>
        </w:rPr>
        <w:t>wniesionego wkładu finansowego ze źródeł niepublicznych</w:t>
      </w:r>
      <w:r w:rsidR="00E2235A">
        <w:rPr>
          <w:rFonts w:eastAsia="Times New Roman"/>
          <w:szCs w:val="26"/>
          <w:lang w:eastAsia="pl-PL"/>
        </w:rPr>
        <w:t>;</w:t>
      </w:r>
    </w:p>
    <w:p w:rsidR="00454AD4" w:rsidRPr="00454AD4" w:rsidRDefault="00454AD4" w:rsidP="00454AD4">
      <w:pPr>
        <w:pStyle w:val="Akapitzlist"/>
        <w:numPr>
          <w:ilvl w:val="0"/>
          <w:numId w:val="22"/>
        </w:numPr>
        <w:spacing w:before="60"/>
        <w:contextualSpacing w:val="0"/>
        <w:jc w:val="both"/>
        <w:rPr>
          <w:rFonts w:eastAsia="Times New Roman"/>
          <w:lang w:eastAsia="pl-PL"/>
        </w:rPr>
      </w:pPr>
      <w:r>
        <w:rPr>
          <w:rFonts w:eastAsia="Times New Roman"/>
          <w:szCs w:val="26"/>
          <w:lang w:eastAsia="pl-PL"/>
        </w:rPr>
        <w:t>2</w:t>
      </w:r>
      <w:r w:rsidR="000404D6">
        <w:rPr>
          <w:rFonts w:eastAsia="Times New Roman"/>
          <w:szCs w:val="26"/>
          <w:lang w:eastAsia="pl-PL"/>
        </w:rPr>
        <w:t>4</w:t>
      </w:r>
      <w:r>
        <w:rPr>
          <w:rFonts w:eastAsia="Times New Roman"/>
          <w:szCs w:val="26"/>
          <w:lang w:eastAsia="pl-PL"/>
        </w:rPr>
        <w:t xml:space="preserve">% </w:t>
      </w:r>
      <w:r w:rsidRPr="00454AD4">
        <w:rPr>
          <w:rFonts w:eastAsia="Times New Roman"/>
          <w:szCs w:val="26"/>
          <w:lang w:eastAsia="pl-PL"/>
        </w:rPr>
        <w:t xml:space="preserve">beneficjentów ostatecznych projektu – Wnioskodawca będzie mógł uzyskać zwrot </w:t>
      </w:r>
      <w:r>
        <w:rPr>
          <w:rFonts w:eastAsia="Times New Roman"/>
          <w:szCs w:val="26"/>
          <w:lang w:eastAsia="pl-PL"/>
        </w:rPr>
        <w:t>80</w:t>
      </w:r>
      <w:r w:rsidRPr="00454AD4">
        <w:rPr>
          <w:rFonts w:eastAsia="Times New Roman"/>
          <w:szCs w:val="26"/>
          <w:lang w:eastAsia="pl-PL"/>
        </w:rPr>
        <w:t>% wniesionego wkładu finansowego ze źródeł niepublicznych</w:t>
      </w:r>
      <w:r w:rsidR="00E2235A">
        <w:rPr>
          <w:rFonts w:eastAsia="Times New Roman"/>
          <w:szCs w:val="26"/>
          <w:lang w:eastAsia="pl-PL"/>
        </w:rPr>
        <w:t>;</w:t>
      </w:r>
    </w:p>
    <w:p w:rsidR="00454AD4" w:rsidRDefault="00454AD4" w:rsidP="00454AD4">
      <w:pPr>
        <w:pStyle w:val="Akapitzlist"/>
        <w:numPr>
          <w:ilvl w:val="0"/>
          <w:numId w:val="22"/>
        </w:numPr>
        <w:spacing w:before="60"/>
        <w:contextualSpacing w:val="0"/>
        <w:jc w:val="both"/>
        <w:rPr>
          <w:rFonts w:eastAsia="Times New Roman"/>
          <w:lang w:eastAsia="pl-PL"/>
        </w:rPr>
      </w:pPr>
      <w:r w:rsidRPr="00454AD4">
        <w:rPr>
          <w:rFonts w:eastAsia="Times New Roman"/>
          <w:lang w:eastAsia="pl-PL"/>
        </w:rPr>
        <w:t>2</w:t>
      </w:r>
      <w:r w:rsidR="000404D6">
        <w:rPr>
          <w:rFonts w:eastAsia="Times New Roman"/>
          <w:lang w:eastAsia="pl-PL"/>
        </w:rPr>
        <w:t>3</w:t>
      </w:r>
      <w:r w:rsidRPr="00454AD4">
        <w:rPr>
          <w:rFonts w:eastAsia="Times New Roman"/>
          <w:lang w:eastAsia="pl-PL"/>
        </w:rPr>
        <w:t xml:space="preserve">% beneficjentów ostatecznych projektu – Wnioskodawca będzie mógł uzyskać zwrot </w:t>
      </w:r>
      <w:r w:rsidR="000404D6">
        <w:rPr>
          <w:rFonts w:eastAsia="Times New Roman"/>
          <w:lang w:eastAsia="pl-PL"/>
        </w:rPr>
        <w:t>75</w:t>
      </w:r>
      <w:r w:rsidRPr="00454AD4">
        <w:rPr>
          <w:rFonts w:eastAsia="Times New Roman"/>
          <w:lang w:eastAsia="pl-PL"/>
        </w:rPr>
        <w:t>% wniesionego wkładu finansowego ze źródeł niepublicznych</w:t>
      </w:r>
      <w:r w:rsidR="00E2235A">
        <w:rPr>
          <w:rFonts w:eastAsia="Times New Roman"/>
          <w:lang w:eastAsia="pl-PL"/>
        </w:rPr>
        <w:t>;</w:t>
      </w:r>
    </w:p>
    <w:p w:rsidR="00454AD4" w:rsidRPr="00454AD4" w:rsidRDefault="00454AD4" w:rsidP="00454AD4">
      <w:pPr>
        <w:pStyle w:val="Akapitzlist"/>
        <w:numPr>
          <w:ilvl w:val="0"/>
          <w:numId w:val="22"/>
        </w:numPr>
        <w:spacing w:before="60"/>
        <w:contextualSpacing w:val="0"/>
        <w:jc w:val="both"/>
        <w:rPr>
          <w:rFonts w:eastAsia="Times New Roman"/>
          <w:lang w:eastAsia="pl-PL"/>
        </w:rPr>
      </w:pPr>
      <w:r w:rsidRPr="001A614D">
        <w:rPr>
          <w:rFonts w:eastAsia="Times New Roman"/>
          <w:szCs w:val="26"/>
          <w:lang w:eastAsia="pl-PL"/>
        </w:rPr>
        <w:t>2</w:t>
      </w:r>
      <w:r w:rsidR="00BA1BC0">
        <w:rPr>
          <w:rFonts w:eastAsia="Times New Roman"/>
          <w:szCs w:val="26"/>
          <w:lang w:eastAsia="pl-PL"/>
        </w:rPr>
        <w:t>1</w:t>
      </w:r>
      <w:r w:rsidRPr="001A614D">
        <w:rPr>
          <w:rFonts w:eastAsia="Times New Roman"/>
          <w:szCs w:val="26"/>
          <w:lang w:eastAsia="pl-PL"/>
        </w:rPr>
        <w:t>% beneficjentów ostatecznych projektu</w:t>
      </w:r>
      <w:r>
        <w:rPr>
          <w:rFonts w:eastAsia="Times New Roman"/>
          <w:szCs w:val="26"/>
          <w:lang w:eastAsia="pl-PL"/>
        </w:rPr>
        <w:t xml:space="preserve"> – Wnioskodawca będzie mógł uzyskać zwrot </w:t>
      </w:r>
      <w:r w:rsidR="000404D6">
        <w:rPr>
          <w:rFonts w:eastAsia="Times New Roman"/>
          <w:szCs w:val="26"/>
          <w:lang w:eastAsia="pl-PL"/>
        </w:rPr>
        <w:t>5</w:t>
      </w:r>
      <w:r>
        <w:rPr>
          <w:rFonts w:eastAsia="Times New Roman"/>
          <w:szCs w:val="26"/>
          <w:lang w:eastAsia="pl-PL"/>
        </w:rPr>
        <w:t xml:space="preserve">0% </w:t>
      </w:r>
      <w:r w:rsidRPr="00454AD4">
        <w:rPr>
          <w:rFonts w:eastAsia="Times New Roman"/>
          <w:szCs w:val="26"/>
          <w:lang w:eastAsia="pl-PL"/>
        </w:rPr>
        <w:t>wniesionego wkładu finansowego ze źródeł niepublicznych</w:t>
      </w:r>
      <w:r w:rsidR="00E2235A">
        <w:rPr>
          <w:rFonts w:eastAsia="Times New Roman"/>
          <w:szCs w:val="26"/>
          <w:lang w:eastAsia="pl-PL"/>
        </w:rPr>
        <w:t>;</w:t>
      </w:r>
    </w:p>
    <w:p w:rsidR="00454AD4" w:rsidRDefault="00454AD4" w:rsidP="00454AD4">
      <w:pPr>
        <w:pStyle w:val="Akapitzlist"/>
        <w:numPr>
          <w:ilvl w:val="0"/>
          <w:numId w:val="22"/>
        </w:numPr>
        <w:spacing w:before="60"/>
        <w:contextualSpacing w:val="0"/>
        <w:jc w:val="both"/>
        <w:rPr>
          <w:rFonts w:eastAsia="Times New Roman"/>
          <w:lang w:eastAsia="pl-PL"/>
        </w:rPr>
      </w:pPr>
      <w:r w:rsidRPr="00454AD4">
        <w:rPr>
          <w:rFonts w:eastAsia="Times New Roman"/>
          <w:lang w:eastAsia="pl-PL"/>
        </w:rPr>
        <w:t>2</w:t>
      </w:r>
      <w:r w:rsidR="00BA1BC0">
        <w:rPr>
          <w:rFonts w:eastAsia="Times New Roman"/>
          <w:lang w:eastAsia="pl-PL"/>
        </w:rPr>
        <w:t>0</w:t>
      </w:r>
      <w:r w:rsidRPr="00454AD4">
        <w:rPr>
          <w:rFonts w:eastAsia="Times New Roman"/>
          <w:lang w:eastAsia="pl-PL"/>
        </w:rPr>
        <w:t xml:space="preserve">% beneficjentów ostatecznych projektu – Wnioskodawca będzie mógł uzyskać zwrot </w:t>
      </w:r>
      <w:r w:rsidR="00BA1BC0">
        <w:rPr>
          <w:rFonts w:eastAsia="Times New Roman"/>
          <w:lang w:eastAsia="pl-PL"/>
        </w:rPr>
        <w:t>2</w:t>
      </w:r>
      <w:r w:rsidR="000404D6">
        <w:rPr>
          <w:rFonts w:eastAsia="Times New Roman"/>
          <w:lang w:eastAsia="pl-PL"/>
        </w:rPr>
        <w:t>5</w:t>
      </w:r>
      <w:r w:rsidRPr="00454AD4">
        <w:rPr>
          <w:rFonts w:eastAsia="Times New Roman"/>
          <w:lang w:eastAsia="pl-PL"/>
        </w:rPr>
        <w:t>% wniesionego wkładu finansowego ze źródeł niepublicznych</w:t>
      </w:r>
      <w:r w:rsidR="00A575FF">
        <w:rPr>
          <w:rFonts w:eastAsia="Times New Roman"/>
          <w:lang w:eastAsia="pl-PL"/>
        </w:rPr>
        <w:t>.</w:t>
      </w:r>
    </w:p>
    <w:p w:rsidR="00EF63E3" w:rsidRDefault="00EF63E3" w:rsidP="00EF63E3">
      <w:pPr>
        <w:jc w:val="both"/>
        <w:rPr>
          <w:rFonts w:eastAsia="Times New Roman"/>
          <w:lang w:eastAsia="pl-PL"/>
        </w:rPr>
      </w:pPr>
    </w:p>
    <w:p w:rsidR="00EF63E3" w:rsidRPr="00EF63E3" w:rsidRDefault="00EF63E3" w:rsidP="00EF63E3">
      <w:pPr>
        <w:jc w:val="both"/>
        <w:rPr>
          <w:rFonts w:eastAsia="Times New Roman"/>
          <w:lang w:eastAsia="pl-PL"/>
        </w:rPr>
      </w:pPr>
    </w:p>
    <w:p w:rsidR="00694C77" w:rsidRPr="00694C77" w:rsidRDefault="003E71E0" w:rsidP="00EF63E3">
      <w:pPr>
        <w:spacing w:before="360" w:after="120"/>
        <w:ind w:left="680" w:hanging="680"/>
        <w:rPr>
          <w:b/>
        </w:rPr>
      </w:pPr>
      <w:r>
        <w:rPr>
          <w:b/>
        </w:rPr>
        <w:lastRenderedPageBreak/>
        <w:t>XI</w:t>
      </w:r>
      <w:r w:rsidR="00EF63E3">
        <w:rPr>
          <w:b/>
        </w:rPr>
        <w:t>I</w:t>
      </w:r>
      <w:r>
        <w:rPr>
          <w:b/>
        </w:rPr>
        <w:t>I.</w:t>
      </w:r>
      <w:r>
        <w:rPr>
          <w:b/>
        </w:rPr>
        <w:tab/>
      </w:r>
      <w:r w:rsidR="00694C77" w:rsidRPr="00694C77">
        <w:rPr>
          <w:b/>
        </w:rPr>
        <w:t>Audyt zewnętrzny projektu</w:t>
      </w:r>
    </w:p>
    <w:p w:rsidR="00694C77" w:rsidRDefault="00694C77" w:rsidP="00E2235A">
      <w:pPr>
        <w:numPr>
          <w:ilvl w:val="2"/>
          <w:numId w:val="18"/>
        </w:numPr>
        <w:jc w:val="both"/>
        <w:rPr>
          <w:rFonts w:eastAsia="Times New Roman"/>
          <w:lang w:eastAsia="pl-PL"/>
        </w:rPr>
      </w:pPr>
      <w:r w:rsidRPr="00694C77">
        <w:rPr>
          <w:rFonts w:eastAsia="Times New Roman"/>
          <w:lang w:eastAsia="pl-PL"/>
        </w:rPr>
        <w:t xml:space="preserve">W projektach zgłaszanych w ramach konkursu wymagane </w:t>
      </w:r>
      <w:r w:rsidR="00751124">
        <w:rPr>
          <w:rFonts w:eastAsia="Times New Roman"/>
          <w:lang w:eastAsia="pl-PL"/>
        </w:rPr>
        <w:t>będzie</w:t>
      </w:r>
      <w:r>
        <w:rPr>
          <w:rFonts w:eastAsia="Times New Roman"/>
          <w:lang w:eastAsia="pl-PL"/>
        </w:rPr>
        <w:t xml:space="preserve"> </w:t>
      </w:r>
      <w:r w:rsidRPr="00694C77">
        <w:rPr>
          <w:rFonts w:eastAsia="Times New Roman"/>
          <w:lang w:eastAsia="pl-PL"/>
        </w:rPr>
        <w:t>prze</w:t>
      </w:r>
      <w:r>
        <w:rPr>
          <w:rFonts w:eastAsia="Times New Roman"/>
          <w:lang w:eastAsia="pl-PL"/>
        </w:rPr>
        <w:t>prowadzenie audytu zewnętrznego,</w:t>
      </w:r>
      <w:r w:rsidRPr="00694C77">
        <w:t xml:space="preserve"> </w:t>
      </w:r>
      <w:r w:rsidRPr="00694C77">
        <w:rPr>
          <w:rFonts w:eastAsia="Times New Roman"/>
          <w:lang w:eastAsia="pl-PL"/>
        </w:rPr>
        <w:t>zgodnie z zasadami określonymi w dokumencie pn.</w:t>
      </w:r>
      <w:r>
        <w:rPr>
          <w:rFonts w:eastAsia="Times New Roman"/>
          <w:lang w:eastAsia="pl-PL"/>
        </w:rPr>
        <w:t> </w:t>
      </w:r>
      <w:r w:rsidRPr="00C91679">
        <w:rPr>
          <w:rFonts w:eastAsia="Times New Roman"/>
          <w:i/>
          <w:lang w:eastAsia="pl-PL"/>
        </w:rPr>
        <w:t>„Wytyczne dotyczące audytu zewnętrznego zadań/projektów finansowanych w części lub w całości ze środków PFRON w ramach ustawy o rehabilitacji zawodowej i społecznej oraz zatrudnianiu osób niepełnosprawnych”</w:t>
      </w:r>
      <w:r>
        <w:rPr>
          <w:rFonts w:eastAsia="Times New Roman"/>
          <w:lang w:eastAsia="pl-PL"/>
        </w:rPr>
        <w:t>.</w:t>
      </w:r>
    </w:p>
    <w:p w:rsidR="00694C77" w:rsidRDefault="00694C77" w:rsidP="00E2235A">
      <w:pPr>
        <w:numPr>
          <w:ilvl w:val="2"/>
          <w:numId w:val="18"/>
        </w:numPr>
        <w:tabs>
          <w:tab w:val="clear" w:pos="360"/>
        </w:tabs>
        <w:spacing w:before="1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  <w:r w:rsidRPr="00694C77">
        <w:rPr>
          <w:rFonts w:eastAsia="Times New Roman"/>
          <w:lang w:eastAsia="pl-PL"/>
        </w:rPr>
        <w:t xml:space="preserve">udyt zewnętrzny przeprowadzany </w:t>
      </w:r>
      <w:r w:rsidR="00751124">
        <w:rPr>
          <w:rFonts w:eastAsia="Times New Roman"/>
          <w:lang w:eastAsia="pl-PL"/>
        </w:rPr>
        <w:t>będzie</w:t>
      </w:r>
      <w:r w:rsidRPr="00694C77">
        <w:rPr>
          <w:rFonts w:eastAsia="Times New Roman"/>
          <w:lang w:eastAsia="pl-PL"/>
        </w:rPr>
        <w:t xml:space="preserve"> dla projektu, którego wartość </w:t>
      </w:r>
      <w:r w:rsidR="00751124">
        <w:rPr>
          <w:rFonts w:eastAsia="Times New Roman"/>
          <w:lang w:eastAsia="pl-PL"/>
        </w:rPr>
        <w:t>będzie</w:t>
      </w:r>
      <w:r w:rsidRPr="00694C77">
        <w:rPr>
          <w:rFonts w:eastAsia="Times New Roman"/>
          <w:lang w:eastAsia="pl-PL"/>
        </w:rPr>
        <w:t xml:space="preserve"> równa </w:t>
      </w:r>
      <w:r w:rsidR="009450F6">
        <w:rPr>
          <w:rFonts w:eastAsia="Times New Roman"/>
          <w:lang w:eastAsia="pl-PL"/>
        </w:rPr>
        <w:t>albo</w:t>
      </w:r>
      <w:r w:rsidR="00751124">
        <w:rPr>
          <w:rFonts w:eastAsia="Times New Roman"/>
          <w:lang w:eastAsia="pl-PL"/>
        </w:rPr>
        <w:t xml:space="preserve"> będzie </w:t>
      </w:r>
      <w:r w:rsidRPr="00694C77">
        <w:rPr>
          <w:rFonts w:eastAsia="Times New Roman"/>
          <w:lang w:eastAsia="pl-PL"/>
        </w:rPr>
        <w:t>przekracza</w:t>
      </w:r>
      <w:r w:rsidR="00751124">
        <w:rPr>
          <w:rFonts w:eastAsia="Times New Roman"/>
          <w:lang w:eastAsia="pl-PL"/>
        </w:rPr>
        <w:t>ć</w:t>
      </w:r>
      <w:r w:rsidRPr="00694C77">
        <w:rPr>
          <w:rFonts w:eastAsia="Times New Roman"/>
          <w:lang w:eastAsia="pl-PL"/>
        </w:rPr>
        <w:t xml:space="preserve"> 700.000 zł –</w:t>
      </w:r>
      <w:r w:rsidR="00751124">
        <w:rPr>
          <w:rFonts w:eastAsia="Times New Roman"/>
          <w:lang w:eastAsia="pl-PL"/>
        </w:rPr>
        <w:t xml:space="preserve"> </w:t>
      </w:r>
      <w:r w:rsidR="006E3000">
        <w:rPr>
          <w:rFonts w:eastAsia="Times New Roman"/>
          <w:lang w:eastAsia="pl-PL"/>
        </w:rPr>
        <w:t xml:space="preserve">w przypadku wniosku składanego w konkursie brana będzie </w:t>
      </w:r>
      <w:r w:rsidR="006E3000" w:rsidRPr="00694C77">
        <w:rPr>
          <w:rFonts w:eastAsia="Times New Roman"/>
          <w:lang w:eastAsia="pl-PL"/>
        </w:rPr>
        <w:t xml:space="preserve">pod uwagę </w:t>
      </w:r>
      <w:r w:rsidRPr="00694C77">
        <w:rPr>
          <w:rFonts w:eastAsia="Times New Roman"/>
          <w:lang w:eastAsia="pl-PL"/>
        </w:rPr>
        <w:t>wartość projektu wskazana dla pierwszego okresu realizacji, z</w:t>
      </w:r>
      <w:r w:rsidR="006E3000">
        <w:rPr>
          <w:rFonts w:eastAsia="Times New Roman"/>
          <w:lang w:eastAsia="pl-PL"/>
        </w:rPr>
        <w:t> </w:t>
      </w:r>
      <w:r w:rsidRPr="00694C77">
        <w:rPr>
          <w:rFonts w:eastAsia="Times New Roman"/>
          <w:lang w:eastAsia="pl-PL"/>
        </w:rPr>
        <w:t>tym że jeżeli Wnioskodawca otrzyma dofinansowanie na realizację projektu wieloletniego, to przy ubieganiu się o</w:t>
      </w:r>
      <w:r w:rsidR="009450F6">
        <w:rPr>
          <w:rFonts w:eastAsia="Times New Roman"/>
          <w:lang w:eastAsia="pl-PL"/>
        </w:rPr>
        <w:t> </w:t>
      </w:r>
      <w:r w:rsidRPr="00694C77">
        <w:rPr>
          <w:rFonts w:eastAsia="Times New Roman"/>
          <w:lang w:eastAsia="pl-PL"/>
        </w:rPr>
        <w:t>dofinansowanie w</w:t>
      </w:r>
      <w:r w:rsidR="00C91679">
        <w:rPr>
          <w:rFonts w:eastAsia="Times New Roman"/>
          <w:lang w:eastAsia="pl-PL"/>
        </w:rPr>
        <w:t xml:space="preserve"> </w:t>
      </w:r>
      <w:r w:rsidR="00391400">
        <w:rPr>
          <w:rFonts w:eastAsia="Times New Roman"/>
          <w:lang w:eastAsia="pl-PL"/>
        </w:rPr>
        <w:t xml:space="preserve">drugim okresie </w:t>
      </w:r>
      <w:r w:rsidRPr="00694C77">
        <w:rPr>
          <w:rFonts w:eastAsia="Times New Roman"/>
          <w:lang w:eastAsia="pl-PL"/>
        </w:rPr>
        <w:t xml:space="preserve">realizacji projektu brana </w:t>
      </w:r>
      <w:r w:rsidR="00751124">
        <w:rPr>
          <w:rFonts w:eastAsia="Times New Roman"/>
          <w:lang w:eastAsia="pl-PL"/>
        </w:rPr>
        <w:t xml:space="preserve">będzie </w:t>
      </w:r>
      <w:r w:rsidRPr="00694C77">
        <w:rPr>
          <w:rFonts w:eastAsia="Times New Roman"/>
          <w:lang w:eastAsia="pl-PL"/>
        </w:rPr>
        <w:t xml:space="preserve">pod uwagę suma wartości projektu z </w:t>
      </w:r>
      <w:r w:rsidR="00391400">
        <w:rPr>
          <w:rFonts w:eastAsia="Times New Roman"/>
          <w:lang w:eastAsia="pl-PL"/>
        </w:rPr>
        <w:t xml:space="preserve">pierwszego okresu </w:t>
      </w:r>
      <w:r w:rsidRPr="00694C77">
        <w:rPr>
          <w:rFonts w:eastAsia="Times New Roman"/>
          <w:lang w:eastAsia="pl-PL"/>
        </w:rPr>
        <w:t>realizacji oraz z</w:t>
      </w:r>
      <w:r w:rsidR="00751124">
        <w:rPr>
          <w:rFonts w:eastAsia="Times New Roman"/>
          <w:lang w:eastAsia="pl-PL"/>
        </w:rPr>
        <w:t xml:space="preserve"> </w:t>
      </w:r>
      <w:r w:rsidRPr="00694C77">
        <w:rPr>
          <w:rFonts w:eastAsia="Times New Roman"/>
          <w:lang w:eastAsia="pl-PL"/>
        </w:rPr>
        <w:t>okresu będącego przedmiotem zaktualizowanego</w:t>
      </w:r>
      <w:r>
        <w:rPr>
          <w:rFonts w:eastAsia="Times New Roman"/>
          <w:lang w:eastAsia="pl-PL"/>
        </w:rPr>
        <w:t xml:space="preserve"> wniosku.</w:t>
      </w:r>
    </w:p>
    <w:p w:rsidR="00694C77" w:rsidRDefault="00C91679" w:rsidP="00E2235A">
      <w:pPr>
        <w:numPr>
          <w:ilvl w:val="2"/>
          <w:numId w:val="18"/>
        </w:numPr>
        <w:spacing w:before="1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Pr="00C91679">
        <w:rPr>
          <w:rFonts w:eastAsia="Times New Roman"/>
          <w:lang w:eastAsia="pl-PL"/>
        </w:rPr>
        <w:t xml:space="preserve"> uwzględnieniem postanowień </w:t>
      </w:r>
      <w:r>
        <w:rPr>
          <w:rFonts w:eastAsia="Times New Roman"/>
          <w:lang w:eastAsia="pl-PL"/>
        </w:rPr>
        <w:t>ust. 2 – a</w:t>
      </w:r>
      <w:r w:rsidR="00694C77" w:rsidRPr="00694C77">
        <w:rPr>
          <w:rFonts w:eastAsia="Times New Roman"/>
          <w:lang w:eastAsia="pl-PL"/>
        </w:rPr>
        <w:t>udyt</w:t>
      </w:r>
      <w:r>
        <w:rPr>
          <w:rFonts w:eastAsia="Times New Roman"/>
          <w:lang w:eastAsia="pl-PL"/>
        </w:rPr>
        <w:t xml:space="preserve"> </w:t>
      </w:r>
      <w:r w:rsidR="00694C77" w:rsidRPr="00694C77">
        <w:rPr>
          <w:rFonts w:eastAsia="Times New Roman"/>
          <w:lang w:eastAsia="pl-PL"/>
        </w:rPr>
        <w:t xml:space="preserve">zewnętrzny przeprowadzany </w:t>
      </w:r>
      <w:r w:rsidR="00751124">
        <w:rPr>
          <w:rFonts w:eastAsia="Times New Roman"/>
          <w:lang w:eastAsia="pl-PL"/>
        </w:rPr>
        <w:t>będzie</w:t>
      </w:r>
      <w:r w:rsidR="00694C77" w:rsidRPr="00694C77">
        <w:rPr>
          <w:rFonts w:eastAsia="Times New Roman"/>
          <w:lang w:eastAsia="pl-PL"/>
        </w:rPr>
        <w:t xml:space="preserve"> również dla projektu, którego wartość wraz z</w:t>
      </w:r>
      <w:r>
        <w:rPr>
          <w:rFonts w:eastAsia="Times New Roman"/>
          <w:lang w:eastAsia="pl-PL"/>
        </w:rPr>
        <w:t xml:space="preserve"> </w:t>
      </w:r>
      <w:r w:rsidR="00694C77" w:rsidRPr="00694C77">
        <w:rPr>
          <w:rFonts w:eastAsia="Times New Roman"/>
          <w:lang w:eastAsia="pl-PL"/>
        </w:rPr>
        <w:t>wartością projektów realizowanych równocześnie przez Wnioskodawcę w</w:t>
      </w:r>
      <w:r w:rsidR="003E71E0">
        <w:rPr>
          <w:rFonts w:eastAsia="Times New Roman"/>
          <w:lang w:eastAsia="pl-PL"/>
        </w:rPr>
        <w:t xml:space="preserve"> </w:t>
      </w:r>
      <w:r w:rsidR="00694C77" w:rsidRPr="00694C77">
        <w:rPr>
          <w:rFonts w:eastAsia="Times New Roman"/>
          <w:lang w:eastAsia="pl-PL"/>
        </w:rPr>
        <w:t>ramach art. 36 ustawy o rehabilitacji lub w</w:t>
      </w:r>
      <w:r w:rsidR="00D06CB0">
        <w:rPr>
          <w:rFonts w:eastAsia="Times New Roman"/>
          <w:lang w:eastAsia="pl-PL"/>
        </w:rPr>
        <w:t> </w:t>
      </w:r>
      <w:r w:rsidR="00694C77" w:rsidRPr="00694C77">
        <w:rPr>
          <w:rFonts w:eastAsia="Times New Roman"/>
          <w:lang w:eastAsia="pl-PL"/>
        </w:rPr>
        <w:t>ramach zadań ustawowych lub programów</w:t>
      </w:r>
      <w:r>
        <w:rPr>
          <w:rFonts w:eastAsia="Times New Roman"/>
          <w:lang w:eastAsia="pl-PL"/>
        </w:rPr>
        <w:t>,</w:t>
      </w:r>
      <w:r w:rsidR="00694C77">
        <w:rPr>
          <w:rFonts w:eastAsia="Times New Roman"/>
          <w:lang w:eastAsia="pl-PL"/>
        </w:rPr>
        <w:t xml:space="preserve"> </w:t>
      </w:r>
      <w:r w:rsidRPr="00C91679">
        <w:rPr>
          <w:rFonts w:eastAsia="Times New Roman"/>
          <w:lang w:eastAsia="pl-PL"/>
        </w:rPr>
        <w:t xml:space="preserve">o których mowa w rozdziale II </w:t>
      </w:r>
      <w:r w:rsidRPr="00C91679">
        <w:rPr>
          <w:rFonts w:eastAsia="Times New Roman"/>
          <w:i/>
          <w:lang w:eastAsia="pl-PL"/>
        </w:rPr>
        <w:t>„Wytycznych dotyczących audytu zewnętrznego zadań/projektów finansowanych w</w:t>
      </w:r>
      <w:r w:rsidR="00D06CB0">
        <w:rPr>
          <w:rFonts w:eastAsia="Times New Roman"/>
          <w:i/>
          <w:lang w:eastAsia="pl-PL"/>
        </w:rPr>
        <w:t> </w:t>
      </w:r>
      <w:r w:rsidRPr="00C91679">
        <w:rPr>
          <w:rFonts w:eastAsia="Times New Roman"/>
          <w:i/>
          <w:lang w:eastAsia="pl-PL"/>
        </w:rPr>
        <w:t>części lub w całości ze środków PFRON w ramach ustawy o rehabilitacji zawodowej i</w:t>
      </w:r>
      <w:r w:rsidR="00D06CB0">
        <w:rPr>
          <w:rFonts w:eastAsia="Times New Roman"/>
          <w:i/>
          <w:lang w:eastAsia="pl-PL"/>
        </w:rPr>
        <w:t> </w:t>
      </w:r>
      <w:r w:rsidRPr="00C91679">
        <w:rPr>
          <w:rFonts w:eastAsia="Times New Roman"/>
          <w:i/>
          <w:lang w:eastAsia="pl-PL"/>
        </w:rPr>
        <w:t>społecznej oraz zatrudnianiu osób niepełnosprawnych”</w:t>
      </w:r>
      <w:r>
        <w:rPr>
          <w:rFonts w:eastAsia="Times New Roman"/>
          <w:i/>
          <w:lang w:eastAsia="pl-PL"/>
        </w:rPr>
        <w:t xml:space="preserve"> </w:t>
      </w:r>
      <w:r w:rsidR="00694C77" w:rsidRPr="00C91679">
        <w:rPr>
          <w:rFonts w:eastAsia="Times New Roman"/>
          <w:lang w:eastAsia="pl-PL"/>
        </w:rPr>
        <w:t xml:space="preserve">– </w:t>
      </w:r>
      <w:r w:rsidR="00751124">
        <w:rPr>
          <w:rFonts w:eastAsia="Times New Roman"/>
          <w:lang w:eastAsia="pl-PL"/>
        </w:rPr>
        <w:t xml:space="preserve">będzie </w:t>
      </w:r>
      <w:r w:rsidR="00694C77" w:rsidRPr="00694C77">
        <w:rPr>
          <w:rFonts w:eastAsia="Times New Roman"/>
          <w:lang w:eastAsia="pl-PL"/>
        </w:rPr>
        <w:t xml:space="preserve">równa </w:t>
      </w:r>
      <w:r w:rsidR="009450F6">
        <w:rPr>
          <w:rFonts w:eastAsia="Times New Roman"/>
          <w:lang w:eastAsia="pl-PL"/>
        </w:rPr>
        <w:t>albo</w:t>
      </w:r>
      <w:r w:rsidR="00694C77" w:rsidRPr="00694C77">
        <w:rPr>
          <w:rFonts w:eastAsia="Times New Roman"/>
          <w:lang w:eastAsia="pl-PL"/>
        </w:rPr>
        <w:t xml:space="preserve"> </w:t>
      </w:r>
      <w:r w:rsidR="00751124">
        <w:rPr>
          <w:rFonts w:eastAsia="Times New Roman"/>
          <w:lang w:eastAsia="pl-PL"/>
        </w:rPr>
        <w:t xml:space="preserve">będzie </w:t>
      </w:r>
      <w:r w:rsidR="00694C77" w:rsidRPr="00694C77">
        <w:rPr>
          <w:rFonts w:eastAsia="Times New Roman"/>
          <w:lang w:eastAsia="pl-PL"/>
        </w:rPr>
        <w:t>przekracza</w:t>
      </w:r>
      <w:r w:rsidR="00751124">
        <w:rPr>
          <w:rFonts w:eastAsia="Times New Roman"/>
          <w:lang w:eastAsia="pl-PL"/>
        </w:rPr>
        <w:t>ć</w:t>
      </w:r>
      <w:r w:rsidR="00694C77" w:rsidRPr="00694C77">
        <w:rPr>
          <w:rFonts w:eastAsia="Times New Roman"/>
          <w:lang w:eastAsia="pl-PL"/>
        </w:rPr>
        <w:t xml:space="preserve"> 1.000.000 zł.</w:t>
      </w:r>
    </w:p>
    <w:p w:rsidR="003E71E0" w:rsidRDefault="003E71E0" w:rsidP="003E71E0">
      <w:pPr>
        <w:numPr>
          <w:ilvl w:val="2"/>
          <w:numId w:val="18"/>
        </w:numPr>
        <w:spacing w:before="80"/>
        <w:jc w:val="both"/>
        <w:rPr>
          <w:rFonts w:eastAsia="Times New Roman"/>
          <w:lang w:eastAsia="pl-PL"/>
        </w:rPr>
      </w:pPr>
      <w:r w:rsidRPr="003E71E0">
        <w:rPr>
          <w:rFonts w:eastAsia="Times New Roman"/>
          <w:lang w:eastAsia="pl-PL"/>
        </w:rPr>
        <w:t xml:space="preserve">Za kwalifikowalny uznawany </w:t>
      </w:r>
      <w:r>
        <w:rPr>
          <w:rFonts w:eastAsia="Times New Roman"/>
          <w:lang w:eastAsia="pl-PL"/>
        </w:rPr>
        <w:t xml:space="preserve">będzie </w:t>
      </w:r>
      <w:r w:rsidRPr="003E71E0">
        <w:rPr>
          <w:rFonts w:eastAsia="Times New Roman"/>
          <w:lang w:eastAsia="pl-PL"/>
        </w:rPr>
        <w:t>koszt audytu nie przekraczający 2% łącznych kosztów kwalifikowalnych projektu</w:t>
      </w:r>
      <w:r>
        <w:rPr>
          <w:rFonts w:eastAsia="Times New Roman"/>
          <w:lang w:eastAsia="pl-PL"/>
        </w:rPr>
        <w:t>, nie więcej jednak niż 5.000 zł.</w:t>
      </w:r>
    </w:p>
    <w:p w:rsidR="00D52B6D" w:rsidRPr="00D52B6D" w:rsidRDefault="00D52B6D" w:rsidP="00EF63E3">
      <w:pPr>
        <w:spacing w:before="360" w:after="120"/>
        <w:ind w:left="680" w:hanging="680"/>
        <w:rPr>
          <w:b/>
        </w:rPr>
      </w:pPr>
      <w:r w:rsidRPr="00D52B6D">
        <w:rPr>
          <w:b/>
        </w:rPr>
        <w:t>X</w:t>
      </w:r>
      <w:r w:rsidR="00EF63E3">
        <w:rPr>
          <w:b/>
        </w:rPr>
        <w:t>IV</w:t>
      </w:r>
      <w:r w:rsidRPr="00D52B6D">
        <w:rPr>
          <w:b/>
        </w:rPr>
        <w:t>.</w:t>
      </w:r>
      <w:r w:rsidRPr="00D52B6D">
        <w:rPr>
          <w:b/>
        </w:rPr>
        <w:tab/>
        <w:t>Limity kosztów kwalifikowalnych</w:t>
      </w:r>
    </w:p>
    <w:p w:rsidR="00D52B6D" w:rsidRPr="00D52B6D" w:rsidRDefault="00D52B6D" w:rsidP="00EF63E3">
      <w:pPr>
        <w:numPr>
          <w:ilvl w:val="1"/>
          <w:numId w:val="26"/>
        </w:numPr>
        <w:jc w:val="both"/>
        <w:rPr>
          <w:rFonts w:eastAsia="Times New Roman"/>
          <w:bCs/>
          <w:lang w:eastAsia="pl-PL"/>
        </w:rPr>
      </w:pPr>
      <w:r w:rsidRPr="00D52B6D">
        <w:rPr>
          <w:rFonts w:eastAsia="Times New Roman"/>
          <w:bCs/>
          <w:lang w:eastAsia="pl-PL"/>
        </w:rPr>
        <w:t>Suma kosztów ujętych w kategorii:</w:t>
      </w:r>
    </w:p>
    <w:p w:rsidR="00D52B6D" w:rsidRPr="00D52B6D" w:rsidRDefault="00D52B6D" w:rsidP="00D52B6D">
      <w:pPr>
        <w:numPr>
          <w:ilvl w:val="0"/>
          <w:numId w:val="27"/>
        </w:numPr>
        <w:spacing w:before="60"/>
        <w:jc w:val="both"/>
        <w:rPr>
          <w:rFonts w:eastAsia="Times New Roman"/>
          <w:bCs/>
          <w:lang w:eastAsia="pl-PL"/>
        </w:rPr>
      </w:pPr>
      <w:r w:rsidRPr="00D52B6D">
        <w:rPr>
          <w:rFonts w:eastAsia="Times New Roman"/>
          <w:bCs/>
          <w:lang w:eastAsia="pl-PL"/>
        </w:rPr>
        <w:t xml:space="preserve">koszty osobowe personelu administracyjnego – nie </w:t>
      </w:r>
      <w:r>
        <w:rPr>
          <w:rFonts w:eastAsia="Times New Roman"/>
          <w:bCs/>
          <w:lang w:eastAsia="pl-PL"/>
        </w:rPr>
        <w:t xml:space="preserve">będzie mogła </w:t>
      </w:r>
      <w:r w:rsidRPr="00D52B6D">
        <w:rPr>
          <w:rFonts w:eastAsia="Times New Roman"/>
          <w:bCs/>
          <w:lang w:eastAsia="pl-PL"/>
        </w:rPr>
        <w:t>przekroczyć 10% łącznych ko</w:t>
      </w:r>
      <w:r w:rsidR="00E2235A">
        <w:rPr>
          <w:rFonts w:eastAsia="Times New Roman"/>
          <w:bCs/>
          <w:lang w:eastAsia="pl-PL"/>
        </w:rPr>
        <w:t>sztów kwalifikowalnych projektu;</w:t>
      </w:r>
    </w:p>
    <w:p w:rsidR="00D52B6D" w:rsidRPr="00D52B6D" w:rsidRDefault="00D52B6D" w:rsidP="00D52B6D">
      <w:pPr>
        <w:numPr>
          <w:ilvl w:val="0"/>
          <w:numId w:val="27"/>
        </w:numPr>
        <w:spacing w:before="60"/>
        <w:jc w:val="both"/>
        <w:rPr>
          <w:rFonts w:eastAsia="Times New Roman"/>
          <w:bCs/>
          <w:lang w:eastAsia="pl-PL"/>
        </w:rPr>
      </w:pPr>
      <w:r w:rsidRPr="00D52B6D">
        <w:rPr>
          <w:rFonts w:eastAsia="Times New Roman"/>
          <w:bCs/>
          <w:lang w:eastAsia="pl-PL"/>
        </w:rPr>
        <w:t>koszty funkcjonowania jednostek wskazanych przez Wnioskodawcę do realizacji projektu – nie będzie mogła przekroczyć:</w:t>
      </w:r>
    </w:p>
    <w:p w:rsidR="00D52B6D" w:rsidRPr="00D52B6D" w:rsidRDefault="00D52B6D" w:rsidP="00D52B6D">
      <w:pPr>
        <w:numPr>
          <w:ilvl w:val="0"/>
          <w:numId w:val="28"/>
        </w:numPr>
        <w:autoSpaceDE w:val="0"/>
        <w:autoSpaceDN w:val="0"/>
        <w:adjustRightInd w:val="0"/>
        <w:spacing w:before="60"/>
        <w:ind w:left="1071" w:hanging="357"/>
        <w:jc w:val="both"/>
        <w:rPr>
          <w:rFonts w:eastAsia="Times New Roman"/>
          <w:bCs/>
          <w:lang w:eastAsia="pl-PL"/>
        </w:rPr>
      </w:pPr>
      <w:r w:rsidRPr="00D52B6D">
        <w:rPr>
          <w:rFonts w:eastAsia="Times New Roman"/>
          <w:bCs/>
          <w:lang w:eastAsia="pl-PL"/>
        </w:rPr>
        <w:t>9% łącznych kosztów kwalifikowalnych projektu – w przypadku projektów o wartości (w odniesieniu do kosztów kwalifikowalnych) nieprzekraczającej 500.000 zł,</w:t>
      </w:r>
    </w:p>
    <w:p w:rsidR="00D52B6D" w:rsidRPr="00D52B6D" w:rsidRDefault="00D52B6D" w:rsidP="00D52B6D">
      <w:pPr>
        <w:numPr>
          <w:ilvl w:val="0"/>
          <w:numId w:val="28"/>
        </w:numPr>
        <w:autoSpaceDE w:val="0"/>
        <w:autoSpaceDN w:val="0"/>
        <w:adjustRightInd w:val="0"/>
        <w:spacing w:before="60"/>
        <w:ind w:left="1071" w:hanging="357"/>
        <w:jc w:val="both"/>
        <w:rPr>
          <w:rFonts w:eastAsia="Times New Roman"/>
          <w:bCs/>
          <w:lang w:eastAsia="pl-PL"/>
        </w:rPr>
      </w:pPr>
      <w:r w:rsidRPr="00D52B6D">
        <w:rPr>
          <w:rFonts w:eastAsia="Times New Roman"/>
          <w:bCs/>
          <w:lang w:eastAsia="pl-PL"/>
        </w:rPr>
        <w:t>8% łącznych kosztów kwalifikowalnych projektu – w przypadku projektów o wartości (w odniesieniu do kosztów kwalifikowalnych) powyżej 500.000 zł do 1.000.000 zł włącznie,</w:t>
      </w:r>
    </w:p>
    <w:p w:rsidR="00D52B6D" w:rsidRPr="00D52B6D" w:rsidRDefault="00D52B6D" w:rsidP="00D52B6D">
      <w:pPr>
        <w:numPr>
          <w:ilvl w:val="0"/>
          <w:numId w:val="28"/>
        </w:numPr>
        <w:autoSpaceDE w:val="0"/>
        <w:autoSpaceDN w:val="0"/>
        <w:adjustRightInd w:val="0"/>
        <w:spacing w:before="60"/>
        <w:ind w:left="1071" w:hanging="357"/>
        <w:jc w:val="both"/>
        <w:rPr>
          <w:rFonts w:eastAsia="Times New Roman"/>
          <w:bCs/>
          <w:lang w:eastAsia="pl-PL"/>
        </w:rPr>
      </w:pPr>
      <w:r w:rsidRPr="00D52B6D">
        <w:rPr>
          <w:rFonts w:eastAsia="Times New Roman"/>
          <w:bCs/>
          <w:lang w:eastAsia="pl-PL"/>
        </w:rPr>
        <w:t>7% łącznych kosztów kwalifikowalnych projektu – w przypadku projektów o wartości (w odniesieniu do kosztów kwalifikowalnych) powyżej 1.000.000 zł do 2.000.000 zł włącznie,</w:t>
      </w:r>
    </w:p>
    <w:p w:rsidR="00D52B6D" w:rsidRPr="00D52B6D" w:rsidRDefault="00D52B6D" w:rsidP="00D52B6D">
      <w:pPr>
        <w:numPr>
          <w:ilvl w:val="0"/>
          <w:numId w:val="28"/>
        </w:numPr>
        <w:autoSpaceDE w:val="0"/>
        <w:autoSpaceDN w:val="0"/>
        <w:adjustRightInd w:val="0"/>
        <w:spacing w:before="60"/>
        <w:ind w:left="1071" w:hanging="357"/>
        <w:jc w:val="both"/>
        <w:rPr>
          <w:rFonts w:eastAsia="Times New Roman"/>
          <w:bCs/>
          <w:lang w:eastAsia="pl-PL"/>
        </w:rPr>
      </w:pPr>
      <w:r w:rsidRPr="00D52B6D">
        <w:rPr>
          <w:rFonts w:eastAsia="Times New Roman"/>
          <w:bCs/>
          <w:lang w:eastAsia="pl-PL"/>
        </w:rPr>
        <w:t>5% łącznych kosztów kwalifikowalnych projektu – w przypadku projektów o wartości (w odniesieniu do kosztów kwalifikowalnych) powyżej 2.000.000 zł do 5.000.000 zł włącznie,</w:t>
      </w:r>
    </w:p>
    <w:p w:rsidR="00D52B6D" w:rsidRPr="00D52B6D" w:rsidRDefault="00D52B6D" w:rsidP="00D52B6D">
      <w:pPr>
        <w:numPr>
          <w:ilvl w:val="0"/>
          <w:numId w:val="28"/>
        </w:numPr>
        <w:autoSpaceDE w:val="0"/>
        <w:autoSpaceDN w:val="0"/>
        <w:adjustRightInd w:val="0"/>
        <w:spacing w:before="60"/>
        <w:ind w:left="1071" w:hanging="357"/>
        <w:jc w:val="both"/>
        <w:rPr>
          <w:rFonts w:eastAsia="Times New Roman"/>
          <w:bCs/>
          <w:lang w:eastAsia="pl-PL"/>
        </w:rPr>
      </w:pPr>
      <w:r w:rsidRPr="00D52B6D">
        <w:rPr>
          <w:rFonts w:eastAsia="Times New Roman"/>
          <w:bCs/>
          <w:lang w:eastAsia="pl-PL"/>
        </w:rPr>
        <w:lastRenderedPageBreak/>
        <w:t>4% łącznych kosztów kwalifikowalnych projektu – w przypadku projektów o wartości (w odniesieniu do kosztów kwalifikowalnych) przekraczającej 5.000.000 zł,</w:t>
      </w:r>
    </w:p>
    <w:p w:rsidR="00D52B6D" w:rsidRPr="00D52B6D" w:rsidRDefault="00D52B6D" w:rsidP="00D52B6D">
      <w:pPr>
        <w:numPr>
          <w:ilvl w:val="0"/>
          <w:numId w:val="27"/>
        </w:numPr>
        <w:spacing w:before="60"/>
        <w:jc w:val="both"/>
        <w:rPr>
          <w:rFonts w:eastAsia="Times New Roman"/>
          <w:bCs/>
          <w:lang w:eastAsia="pl-PL"/>
        </w:rPr>
      </w:pPr>
      <w:r w:rsidRPr="00D52B6D">
        <w:rPr>
          <w:rFonts w:eastAsia="Times New Roman"/>
          <w:bCs/>
          <w:lang w:eastAsia="pl-PL"/>
        </w:rPr>
        <w:t>nakłady na nabycie środków trwałych, wartości niematerialnych i prawnych oraz wyposażenia; koszty najmu (dzierżawy, leasingu) ww. składników majątkowych; koszty remontów, adaptacji i modernizacji pomieszczeń – nie będzie mogła przekroczyć 10% łącznych kosztów kwalifikowalnych projektu.</w:t>
      </w:r>
    </w:p>
    <w:p w:rsidR="00D52B6D" w:rsidRPr="00D52B6D" w:rsidRDefault="00D52B6D" w:rsidP="00D52B6D">
      <w:pPr>
        <w:numPr>
          <w:ilvl w:val="1"/>
          <w:numId w:val="26"/>
        </w:numPr>
        <w:spacing w:before="120"/>
        <w:jc w:val="both"/>
        <w:rPr>
          <w:rFonts w:eastAsia="Times New Roman"/>
          <w:bCs/>
          <w:lang w:eastAsia="pl-PL"/>
        </w:rPr>
      </w:pPr>
      <w:r w:rsidRPr="00D52B6D">
        <w:rPr>
          <w:rFonts w:eastAsia="Times New Roman"/>
          <w:bCs/>
          <w:lang w:eastAsia="pl-PL"/>
        </w:rPr>
        <w:t xml:space="preserve">Na etapie oceny merytorycznej budżet projektu weryfikowany </w:t>
      </w:r>
      <w:r>
        <w:rPr>
          <w:rFonts w:eastAsia="Times New Roman"/>
          <w:bCs/>
          <w:lang w:eastAsia="pl-PL"/>
        </w:rPr>
        <w:t xml:space="preserve">będzie </w:t>
      </w:r>
      <w:r w:rsidRPr="00D52B6D">
        <w:rPr>
          <w:rFonts w:eastAsia="Times New Roman"/>
          <w:bCs/>
          <w:lang w:eastAsia="pl-PL"/>
        </w:rPr>
        <w:t>m.in. w celu wyeliminowania kosztów, które nie spełniają warunku racjonalnego i oszczędnego gospodarowania środkami publicznymi.</w:t>
      </w:r>
    </w:p>
    <w:sectPr w:rsidR="00D52B6D" w:rsidRPr="00D52B6D" w:rsidSect="00E2235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13" w:rsidRDefault="00760513" w:rsidP="0023444D">
      <w:r>
        <w:separator/>
      </w:r>
    </w:p>
  </w:endnote>
  <w:endnote w:type="continuationSeparator" w:id="0">
    <w:p w:rsidR="00760513" w:rsidRDefault="00760513" w:rsidP="0023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011528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p w:rsidR="006954C2" w:rsidRDefault="00624F8B" w:rsidP="00624F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91">
          <w:rPr>
            <w:noProof/>
          </w:rPr>
          <w:t>7</w:t>
        </w:r>
        <w:r>
          <w:fldChar w:fldCharType="end"/>
        </w:r>
      </w:p>
      <w:p w:rsidR="00624F8B" w:rsidRPr="006954C2" w:rsidRDefault="00AB78EF" w:rsidP="006954C2">
        <w:pPr>
          <w:pStyle w:val="Stopka"/>
          <w:rPr>
            <w:i/>
            <w:sz w:val="22"/>
            <w:szCs w:val="22"/>
          </w:rPr>
        </w:pPr>
        <w:r>
          <w:rPr>
            <w:i/>
            <w:sz w:val="22"/>
            <w:szCs w:val="22"/>
          </w:rPr>
          <w:t xml:space="preserve">Założenia </w:t>
        </w:r>
        <w:r w:rsidR="006954C2" w:rsidRPr="006954C2">
          <w:rPr>
            <w:i/>
            <w:sz w:val="22"/>
            <w:szCs w:val="22"/>
          </w:rPr>
          <w:t xml:space="preserve">z dnia </w:t>
        </w:r>
        <w:r w:rsidR="005D284C">
          <w:rPr>
            <w:i/>
            <w:sz w:val="22"/>
            <w:szCs w:val="22"/>
          </w:rPr>
          <w:t>19</w:t>
        </w:r>
        <w:r w:rsidR="006954C2" w:rsidRPr="006954C2">
          <w:rPr>
            <w:i/>
            <w:sz w:val="22"/>
            <w:szCs w:val="22"/>
          </w:rPr>
          <w:t>.0</w:t>
        </w:r>
        <w:r w:rsidR="000404D6">
          <w:rPr>
            <w:i/>
            <w:sz w:val="22"/>
            <w:szCs w:val="22"/>
          </w:rPr>
          <w:t>8</w:t>
        </w:r>
        <w:r w:rsidR="006954C2" w:rsidRPr="006954C2">
          <w:rPr>
            <w:i/>
            <w:sz w:val="22"/>
            <w:szCs w:val="22"/>
          </w:rPr>
          <w:t>.2016 r.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13" w:rsidRDefault="00760513" w:rsidP="0023444D">
      <w:r>
        <w:separator/>
      </w:r>
    </w:p>
  </w:footnote>
  <w:footnote w:type="continuationSeparator" w:id="0">
    <w:p w:rsidR="00760513" w:rsidRDefault="00760513" w:rsidP="0023444D">
      <w:r>
        <w:continuationSeparator/>
      </w:r>
    </w:p>
  </w:footnote>
  <w:footnote w:id="1">
    <w:p w:rsidR="0023444D" w:rsidRDefault="0023444D" w:rsidP="0023444D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562C">
        <w:t>rozporządzenie Ministra Pracy i Polityki Społecznej z dnia 7 lutego 2008</w:t>
      </w:r>
      <w:r>
        <w:t> </w:t>
      </w:r>
      <w:r w:rsidRPr="0087562C">
        <w:t>r. w sprawie rodzajów zadań z</w:t>
      </w:r>
      <w:r>
        <w:t> </w:t>
      </w:r>
      <w:r w:rsidRPr="0087562C">
        <w:t>zakresu rehabilitacji zawodowej i społecznej osób niepełnosprawnych zlecanych fundacjom oraz organizacjom pozarządowym (Dz. U. Nr 29, poz.</w:t>
      </w:r>
      <w:r>
        <w:t> </w:t>
      </w:r>
      <w:r w:rsidRPr="0087562C">
        <w:t>172</w:t>
      </w:r>
      <w:r>
        <w:t>, z późn. zm.</w:t>
      </w:r>
      <w:r w:rsidRPr="0087562C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8B" w:rsidRPr="00624F8B" w:rsidRDefault="00624F8B" w:rsidP="00624F8B">
    <w:pPr>
      <w:pStyle w:val="Nagwek"/>
      <w:jc w:val="center"/>
      <w:rPr>
        <w:i/>
        <w:sz w:val="22"/>
        <w:szCs w:val="22"/>
      </w:rPr>
    </w:pPr>
    <w:r w:rsidRPr="00624F8B">
      <w:rPr>
        <w:i/>
        <w:sz w:val="22"/>
        <w:szCs w:val="22"/>
      </w:rPr>
      <w:t xml:space="preserve">Założenia </w:t>
    </w:r>
    <w:r w:rsidR="00C06E91">
      <w:rPr>
        <w:i/>
        <w:sz w:val="22"/>
        <w:szCs w:val="22"/>
      </w:rPr>
      <w:t xml:space="preserve">pilotażowego </w:t>
    </w:r>
    <w:r w:rsidRPr="00624F8B">
      <w:rPr>
        <w:i/>
        <w:sz w:val="22"/>
        <w:szCs w:val="22"/>
      </w:rPr>
      <w:t xml:space="preserve">konkursu </w:t>
    </w:r>
    <w:r w:rsidR="00407EC2" w:rsidRPr="00407EC2">
      <w:rPr>
        <w:i/>
        <w:sz w:val="22"/>
        <w:szCs w:val="22"/>
      </w:rPr>
      <w:t>pn.</w:t>
    </w:r>
    <w:r w:rsidR="00407EC2">
      <w:rPr>
        <w:i/>
        <w:sz w:val="22"/>
        <w:szCs w:val="22"/>
      </w:rPr>
      <w:t> </w:t>
    </w:r>
    <w:r w:rsidR="00407EC2" w:rsidRPr="00407EC2">
      <w:rPr>
        <w:i/>
        <w:sz w:val="22"/>
        <w:szCs w:val="22"/>
      </w:rPr>
      <w:t>„</w:t>
    </w:r>
    <w:r w:rsidR="007C20BB">
      <w:rPr>
        <w:i/>
        <w:sz w:val="22"/>
        <w:szCs w:val="22"/>
      </w:rPr>
      <w:t xml:space="preserve">Gotowi do </w:t>
    </w:r>
    <w:r w:rsidR="00407EC2" w:rsidRPr="00407EC2">
      <w:rPr>
        <w:i/>
        <w:sz w:val="22"/>
        <w:szCs w:val="22"/>
      </w:rPr>
      <w:t>pracy</w:t>
    </w:r>
    <w:r w:rsidR="00407EC2">
      <w:rPr>
        <w:i/>
        <w:sz w:val="22"/>
        <w:szCs w:val="22"/>
      </w:rPr>
      <w:t xml:space="preserve">” (konkurs nr </w:t>
    </w:r>
    <w:r w:rsidR="00E266F3">
      <w:rPr>
        <w:i/>
        <w:sz w:val="22"/>
        <w:szCs w:val="22"/>
      </w:rPr>
      <w:t>1/2016</w:t>
    </w:r>
    <w:r w:rsidR="00407EC2">
      <w:rPr>
        <w:i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62"/>
    <w:multiLevelType w:val="hybridMultilevel"/>
    <w:tmpl w:val="AB5C8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65B1"/>
    <w:multiLevelType w:val="hybridMultilevel"/>
    <w:tmpl w:val="F3DABA18"/>
    <w:lvl w:ilvl="0" w:tplc="D974C8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3EE2"/>
    <w:multiLevelType w:val="hybridMultilevel"/>
    <w:tmpl w:val="C29C590C"/>
    <w:lvl w:ilvl="0" w:tplc="7D244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142D5"/>
    <w:multiLevelType w:val="hybridMultilevel"/>
    <w:tmpl w:val="53429588"/>
    <w:lvl w:ilvl="0" w:tplc="7D244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135D2"/>
    <w:multiLevelType w:val="hybridMultilevel"/>
    <w:tmpl w:val="0314506E"/>
    <w:lvl w:ilvl="0" w:tplc="7ACAF8F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182489A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546E826A">
      <w:start w:val="1"/>
      <w:numFmt w:val="bullet"/>
      <w:lvlText w:val="–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E094A"/>
    <w:multiLevelType w:val="hybridMultilevel"/>
    <w:tmpl w:val="96466590"/>
    <w:lvl w:ilvl="0" w:tplc="6FFA478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EB3498"/>
    <w:multiLevelType w:val="hybridMultilevel"/>
    <w:tmpl w:val="B20282B6"/>
    <w:lvl w:ilvl="0" w:tplc="7D244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77F1"/>
    <w:multiLevelType w:val="hybridMultilevel"/>
    <w:tmpl w:val="795E8212"/>
    <w:lvl w:ilvl="0" w:tplc="6FFA478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E6012DB"/>
    <w:multiLevelType w:val="hybridMultilevel"/>
    <w:tmpl w:val="8F1A4A10"/>
    <w:lvl w:ilvl="0" w:tplc="2DB86B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33E24"/>
    <w:multiLevelType w:val="hybridMultilevel"/>
    <w:tmpl w:val="343EA72E"/>
    <w:lvl w:ilvl="0" w:tplc="D300539E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  <w:b w:val="0"/>
        <w:i w:val="0"/>
        <w:sz w:val="26"/>
      </w:rPr>
    </w:lvl>
    <w:lvl w:ilvl="1" w:tplc="92FA0182">
      <w:start w:val="5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2164391A"/>
    <w:multiLevelType w:val="hybridMultilevel"/>
    <w:tmpl w:val="69FC8598"/>
    <w:lvl w:ilvl="0" w:tplc="0914C40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3F92545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A303E"/>
    <w:multiLevelType w:val="hybridMultilevel"/>
    <w:tmpl w:val="057A7248"/>
    <w:lvl w:ilvl="0" w:tplc="56740990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2B2737D2"/>
    <w:multiLevelType w:val="hybridMultilevel"/>
    <w:tmpl w:val="80B070BA"/>
    <w:lvl w:ilvl="0" w:tplc="7F5677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A495F"/>
    <w:multiLevelType w:val="hybridMultilevel"/>
    <w:tmpl w:val="1BEA3CF0"/>
    <w:lvl w:ilvl="0" w:tplc="6FFA47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1EB8"/>
    <w:multiLevelType w:val="hybridMultilevel"/>
    <w:tmpl w:val="6F2A0538"/>
    <w:lvl w:ilvl="0" w:tplc="6FFA47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85C7D"/>
    <w:multiLevelType w:val="hybridMultilevel"/>
    <w:tmpl w:val="DB000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A70E43"/>
    <w:multiLevelType w:val="hybridMultilevel"/>
    <w:tmpl w:val="9BB2ACE4"/>
    <w:lvl w:ilvl="0" w:tplc="4A82BD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152EEF4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1E56211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C9AA3B8A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3CA02F00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B5980"/>
    <w:multiLevelType w:val="hybridMultilevel"/>
    <w:tmpl w:val="AB463E72"/>
    <w:lvl w:ilvl="0" w:tplc="7D244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D84823"/>
    <w:multiLevelType w:val="hybridMultilevel"/>
    <w:tmpl w:val="2FCAC9EA"/>
    <w:lvl w:ilvl="0" w:tplc="736A406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96935"/>
    <w:multiLevelType w:val="hybridMultilevel"/>
    <w:tmpl w:val="A45847D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C86778D"/>
    <w:multiLevelType w:val="hybridMultilevel"/>
    <w:tmpl w:val="493E50F8"/>
    <w:lvl w:ilvl="0" w:tplc="711014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5864DE"/>
    <w:multiLevelType w:val="hybridMultilevel"/>
    <w:tmpl w:val="A7CCD404"/>
    <w:lvl w:ilvl="0" w:tplc="57D61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C1A64"/>
    <w:multiLevelType w:val="hybridMultilevel"/>
    <w:tmpl w:val="53C2D0B6"/>
    <w:lvl w:ilvl="0" w:tplc="7F288A28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ascii="Times New Roman" w:hAnsi="Times New Roman" w:hint="default"/>
        <w:b w:val="0"/>
        <w:i w:val="0"/>
        <w:sz w:val="26"/>
      </w:rPr>
    </w:lvl>
    <w:lvl w:ilvl="1" w:tplc="A710A0D4">
      <w:start w:val="1"/>
      <w:numFmt w:val="decimal"/>
      <w:lvlText w:val="%2)"/>
      <w:lvlJc w:val="left"/>
      <w:pPr>
        <w:tabs>
          <w:tab w:val="num" w:pos="740"/>
        </w:tabs>
        <w:ind w:left="740" w:hanging="380"/>
      </w:pPr>
      <w:rPr>
        <w:rFonts w:ascii="Arial" w:hAnsi="Arial" w:hint="default"/>
        <w:b w:val="0"/>
        <w:i w:val="0"/>
        <w:sz w:val="24"/>
      </w:rPr>
    </w:lvl>
    <w:lvl w:ilvl="2" w:tplc="7616C69A">
      <w:start w:val="1"/>
      <w:numFmt w:val="lowerLetter"/>
      <w:lvlText w:val="%3)"/>
      <w:lvlJc w:val="left"/>
      <w:pPr>
        <w:tabs>
          <w:tab w:val="num" w:pos="1194"/>
        </w:tabs>
        <w:ind w:left="1194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3">
    <w:nsid w:val="6338146F"/>
    <w:multiLevelType w:val="hybridMultilevel"/>
    <w:tmpl w:val="33EC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F1237"/>
    <w:multiLevelType w:val="hybridMultilevel"/>
    <w:tmpl w:val="107A587C"/>
    <w:lvl w:ilvl="0" w:tplc="C5D8616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6A5E008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5">
    <w:nsid w:val="657E5737"/>
    <w:multiLevelType w:val="hybridMultilevel"/>
    <w:tmpl w:val="4DEE16EE"/>
    <w:lvl w:ilvl="0" w:tplc="D30053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EF1B32"/>
    <w:multiLevelType w:val="hybridMultilevel"/>
    <w:tmpl w:val="E8BAF00C"/>
    <w:lvl w:ilvl="0" w:tplc="2B50F16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E91826"/>
    <w:multiLevelType w:val="hybridMultilevel"/>
    <w:tmpl w:val="92F2CA7E"/>
    <w:lvl w:ilvl="0" w:tplc="AB94C0E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92FA0182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76D70"/>
    <w:multiLevelType w:val="hybridMultilevel"/>
    <w:tmpl w:val="488EC3E8"/>
    <w:lvl w:ilvl="0" w:tplc="941A4A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17186E7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59AC903E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340EA"/>
    <w:multiLevelType w:val="hybridMultilevel"/>
    <w:tmpl w:val="EFC2A4A4"/>
    <w:lvl w:ilvl="0" w:tplc="7D244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33380E"/>
    <w:multiLevelType w:val="hybridMultilevel"/>
    <w:tmpl w:val="43FA3AC4"/>
    <w:lvl w:ilvl="0" w:tplc="07A0E3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25"/>
  </w:num>
  <w:num w:numId="5">
    <w:abstractNumId w:val="20"/>
  </w:num>
  <w:num w:numId="6">
    <w:abstractNumId w:val="12"/>
  </w:num>
  <w:num w:numId="7">
    <w:abstractNumId w:val="28"/>
  </w:num>
  <w:num w:numId="8">
    <w:abstractNumId w:val="5"/>
  </w:num>
  <w:num w:numId="9">
    <w:abstractNumId w:val="7"/>
  </w:num>
  <w:num w:numId="10">
    <w:abstractNumId w:val="27"/>
  </w:num>
  <w:num w:numId="11">
    <w:abstractNumId w:val="9"/>
  </w:num>
  <w:num w:numId="12">
    <w:abstractNumId w:val="2"/>
  </w:num>
  <w:num w:numId="13">
    <w:abstractNumId w:val="6"/>
  </w:num>
  <w:num w:numId="14">
    <w:abstractNumId w:val="29"/>
  </w:num>
  <w:num w:numId="15">
    <w:abstractNumId w:val="10"/>
  </w:num>
  <w:num w:numId="16">
    <w:abstractNumId w:val="18"/>
  </w:num>
  <w:num w:numId="17">
    <w:abstractNumId w:val="21"/>
  </w:num>
  <w:num w:numId="18">
    <w:abstractNumId w:val="16"/>
  </w:num>
  <w:num w:numId="19">
    <w:abstractNumId w:val="4"/>
  </w:num>
  <w:num w:numId="20">
    <w:abstractNumId w:val="30"/>
  </w:num>
  <w:num w:numId="21">
    <w:abstractNumId w:val="8"/>
  </w:num>
  <w:num w:numId="22">
    <w:abstractNumId w:val="13"/>
  </w:num>
  <w:num w:numId="23">
    <w:abstractNumId w:val="15"/>
  </w:num>
  <w:num w:numId="24">
    <w:abstractNumId w:val="14"/>
  </w:num>
  <w:num w:numId="25">
    <w:abstractNumId w:val="1"/>
  </w:num>
  <w:num w:numId="26">
    <w:abstractNumId w:val="24"/>
  </w:num>
  <w:num w:numId="27">
    <w:abstractNumId w:val="26"/>
  </w:num>
  <w:num w:numId="28">
    <w:abstractNumId w:val="19"/>
  </w:num>
  <w:num w:numId="29">
    <w:abstractNumId w:val="0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DC"/>
    <w:rsid w:val="000404D6"/>
    <w:rsid w:val="00052C8B"/>
    <w:rsid w:val="00057F9C"/>
    <w:rsid w:val="000624D1"/>
    <w:rsid w:val="000A2D2C"/>
    <w:rsid w:val="000C0024"/>
    <w:rsid w:val="000F39B7"/>
    <w:rsid w:val="0012643E"/>
    <w:rsid w:val="00146A97"/>
    <w:rsid w:val="00173F3D"/>
    <w:rsid w:val="001A614D"/>
    <w:rsid w:val="001D0489"/>
    <w:rsid w:val="001E1757"/>
    <w:rsid w:val="001E375A"/>
    <w:rsid w:val="001F3CDE"/>
    <w:rsid w:val="0023444D"/>
    <w:rsid w:val="002F3CF7"/>
    <w:rsid w:val="00305177"/>
    <w:rsid w:val="00306697"/>
    <w:rsid w:val="00386719"/>
    <w:rsid w:val="00391400"/>
    <w:rsid w:val="00393D52"/>
    <w:rsid w:val="003E71E0"/>
    <w:rsid w:val="00401DB8"/>
    <w:rsid w:val="0040732E"/>
    <w:rsid w:val="00407EC2"/>
    <w:rsid w:val="00451216"/>
    <w:rsid w:val="00454AD4"/>
    <w:rsid w:val="0049049F"/>
    <w:rsid w:val="004B02E3"/>
    <w:rsid w:val="005050AA"/>
    <w:rsid w:val="00513369"/>
    <w:rsid w:val="00520871"/>
    <w:rsid w:val="00535E34"/>
    <w:rsid w:val="00577E53"/>
    <w:rsid w:val="005A5CE2"/>
    <w:rsid w:val="005B48B4"/>
    <w:rsid w:val="005C5CAF"/>
    <w:rsid w:val="005D284C"/>
    <w:rsid w:val="005D4D23"/>
    <w:rsid w:val="005D5F91"/>
    <w:rsid w:val="005D6227"/>
    <w:rsid w:val="005E3333"/>
    <w:rsid w:val="00624F8B"/>
    <w:rsid w:val="0063546C"/>
    <w:rsid w:val="006567C3"/>
    <w:rsid w:val="00687AC1"/>
    <w:rsid w:val="00694C77"/>
    <w:rsid w:val="006954C2"/>
    <w:rsid w:val="006D55A6"/>
    <w:rsid w:val="006E12E2"/>
    <w:rsid w:val="006E3000"/>
    <w:rsid w:val="0072263A"/>
    <w:rsid w:val="007348ED"/>
    <w:rsid w:val="00751124"/>
    <w:rsid w:val="00760513"/>
    <w:rsid w:val="007754F4"/>
    <w:rsid w:val="00782641"/>
    <w:rsid w:val="00790388"/>
    <w:rsid w:val="007B3613"/>
    <w:rsid w:val="007C20BB"/>
    <w:rsid w:val="007D71B2"/>
    <w:rsid w:val="008034E0"/>
    <w:rsid w:val="00807389"/>
    <w:rsid w:val="00816A99"/>
    <w:rsid w:val="0092079D"/>
    <w:rsid w:val="009450F6"/>
    <w:rsid w:val="00955AD9"/>
    <w:rsid w:val="00975905"/>
    <w:rsid w:val="0098776C"/>
    <w:rsid w:val="009A4512"/>
    <w:rsid w:val="009B453F"/>
    <w:rsid w:val="00A21D72"/>
    <w:rsid w:val="00A50692"/>
    <w:rsid w:val="00A575FF"/>
    <w:rsid w:val="00A676C0"/>
    <w:rsid w:val="00A72D9B"/>
    <w:rsid w:val="00AB78EF"/>
    <w:rsid w:val="00AE0BA0"/>
    <w:rsid w:val="00B0216C"/>
    <w:rsid w:val="00B16711"/>
    <w:rsid w:val="00B532D2"/>
    <w:rsid w:val="00B615C3"/>
    <w:rsid w:val="00B93525"/>
    <w:rsid w:val="00BA1BC0"/>
    <w:rsid w:val="00BB5A61"/>
    <w:rsid w:val="00C06E91"/>
    <w:rsid w:val="00C16505"/>
    <w:rsid w:val="00C2744B"/>
    <w:rsid w:val="00C308EF"/>
    <w:rsid w:val="00C3094C"/>
    <w:rsid w:val="00C35185"/>
    <w:rsid w:val="00C36966"/>
    <w:rsid w:val="00C5626F"/>
    <w:rsid w:val="00C6189F"/>
    <w:rsid w:val="00C82F34"/>
    <w:rsid w:val="00C90426"/>
    <w:rsid w:val="00C91679"/>
    <w:rsid w:val="00CA4BEE"/>
    <w:rsid w:val="00CA5A97"/>
    <w:rsid w:val="00D06CB0"/>
    <w:rsid w:val="00D1011E"/>
    <w:rsid w:val="00D2432D"/>
    <w:rsid w:val="00D52B6D"/>
    <w:rsid w:val="00DC5BC1"/>
    <w:rsid w:val="00DD5E0E"/>
    <w:rsid w:val="00E2235A"/>
    <w:rsid w:val="00E266F3"/>
    <w:rsid w:val="00E45C0F"/>
    <w:rsid w:val="00E80946"/>
    <w:rsid w:val="00EA384E"/>
    <w:rsid w:val="00EA4DDC"/>
    <w:rsid w:val="00EC59F9"/>
    <w:rsid w:val="00ED6207"/>
    <w:rsid w:val="00EE47EE"/>
    <w:rsid w:val="00EF63E3"/>
    <w:rsid w:val="00F067CA"/>
    <w:rsid w:val="00F40A31"/>
    <w:rsid w:val="00F63D27"/>
    <w:rsid w:val="00F82808"/>
    <w:rsid w:val="00FE11A0"/>
    <w:rsid w:val="00FE5C7B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5B48B4"/>
    <w:pPr>
      <w:spacing w:before="6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5B48B4"/>
    <w:rPr>
      <w:rFonts w:ascii="Arial" w:eastAsia="Times New Roman" w:hAnsi="Arial" w:cs="Arial"/>
      <w:sz w:val="24"/>
      <w:lang w:eastAsia="pl-PL"/>
    </w:rPr>
  </w:style>
  <w:style w:type="paragraph" w:customStyle="1" w:styleId="Tekstpodstawowy31">
    <w:name w:val="Tekst podstawowy 31"/>
    <w:basedOn w:val="Normalny"/>
    <w:rsid w:val="005B48B4"/>
    <w:pPr>
      <w:jc w:val="both"/>
    </w:pPr>
    <w:rPr>
      <w:rFonts w:eastAsia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4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4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44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6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61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4F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4F8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4F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4F8B"/>
  </w:style>
  <w:style w:type="paragraph" w:styleId="Nagwek">
    <w:name w:val="header"/>
    <w:basedOn w:val="Normalny"/>
    <w:link w:val="NagwekZnak"/>
    <w:uiPriority w:val="99"/>
    <w:unhideWhenUsed/>
    <w:rsid w:val="00624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F8B"/>
  </w:style>
  <w:style w:type="paragraph" w:styleId="Stopka">
    <w:name w:val="footer"/>
    <w:basedOn w:val="Normalny"/>
    <w:link w:val="StopkaZnak"/>
    <w:uiPriority w:val="99"/>
    <w:unhideWhenUsed/>
    <w:rsid w:val="00624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F8B"/>
  </w:style>
  <w:style w:type="paragraph" w:styleId="Akapitzlist">
    <w:name w:val="List Paragraph"/>
    <w:basedOn w:val="Normalny"/>
    <w:uiPriority w:val="34"/>
    <w:qFormat/>
    <w:rsid w:val="00775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94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2B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5B48B4"/>
    <w:pPr>
      <w:spacing w:before="6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5B48B4"/>
    <w:rPr>
      <w:rFonts w:ascii="Arial" w:eastAsia="Times New Roman" w:hAnsi="Arial" w:cs="Arial"/>
      <w:sz w:val="24"/>
      <w:lang w:eastAsia="pl-PL"/>
    </w:rPr>
  </w:style>
  <w:style w:type="paragraph" w:customStyle="1" w:styleId="Tekstpodstawowy31">
    <w:name w:val="Tekst podstawowy 31"/>
    <w:basedOn w:val="Normalny"/>
    <w:rsid w:val="005B48B4"/>
    <w:pPr>
      <w:jc w:val="both"/>
    </w:pPr>
    <w:rPr>
      <w:rFonts w:eastAsia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4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4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44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6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61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4F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4F8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4F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4F8B"/>
  </w:style>
  <w:style w:type="paragraph" w:styleId="Nagwek">
    <w:name w:val="header"/>
    <w:basedOn w:val="Normalny"/>
    <w:link w:val="NagwekZnak"/>
    <w:uiPriority w:val="99"/>
    <w:unhideWhenUsed/>
    <w:rsid w:val="00624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F8B"/>
  </w:style>
  <w:style w:type="paragraph" w:styleId="Stopka">
    <w:name w:val="footer"/>
    <w:basedOn w:val="Normalny"/>
    <w:link w:val="StopkaZnak"/>
    <w:uiPriority w:val="99"/>
    <w:unhideWhenUsed/>
    <w:rsid w:val="00624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F8B"/>
  </w:style>
  <w:style w:type="paragraph" w:styleId="Akapitzlist">
    <w:name w:val="List Paragraph"/>
    <w:basedOn w:val="Normalny"/>
    <w:uiPriority w:val="34"/>
    <w:qFormat/>
    <w:rsid w:val="00775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94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2B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4B1F-9E31-47CC-9867-D0A3BC05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2274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2016-08-19T08:45:00Z</cp:lastPrinted>
  <dcterms:created xsi:type="dcterms:W3CDTF">2016-08-19T08:10:00Z</dcterms:created>
  <dcterms:modified xsi:type="dcterms:W3CDTF">2016-08-19T11:11:00Z</dcterms:modified>
</cp:coreProperties>
</file>