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D52F" w14:textId="77777777" w:rsidR="00AE0DD2" w:rsidRPr="00AE0DD2" w:rsidRDefault="00AE0DD2" w:rsidP="007346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7C023B1F" w14:textId="77777777" w:rsidR="00AE0DD2" w:rsidRPr="00AE0DD2" w:rsidRDefault="00AE0DD2" w:rsidP="007346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konkursu  nr 1/201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7CA3064D" w14:textId="77777777" w:rsidR="00AE0DD2" w:rsidRPr="00AE0DD2" w:rsidRDefault="00AE0DD2" w:rsidP="007346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,,PRACA-INTEGRACJA”</w:t>
      </w:r>
    </w:p>
    <w:p w14:paraId="1535A37F" w14:textId="77777777" w:rsidR="00AE0DD2" w:rsidRPr="00AE0DD2" w:rsidRDefault="00AE0DD2" w:rsidP="00AE0DD2">
      <w:pPr>
        <w:spacing w:after="120" w:line="480" w:lineRule="auto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14:paraId="45CE0BCA" w14:textId="77777777" w:rsidR="00AE0DD2" w:rsidRPr="008C6D73" w:rsidRDefault="00AE0DD2" w:rsidP="008C6D73">
      <w:pPr>
        <w:pStyle w:val="Nagwek1"/>
      </w:pPr>
      <w:r w:rsidRPr="008C6D73">
        <w:t xml:space="preserve">Regulamin pracy komisji konkursowej opiniującej oferty organizacji pozarządowych (Oferentów NGO) na realizację zadania publicznego, określonego w Obszarach A-C </w:t>
      </w:r>
      <w:r w:rsidRPr="008C6D73">
        <w:br/>
        <w:t xml:space="preserve">PILOTAŻOWEGO PROGRAMU „PRACA – INTEGRACJA”.  </w:t>
      </w:r>
    </w:p>
    <w:p w14:paraId="0CA71742" w14:textId="77777777" w:rsidR="00AE0DD2" w:rsidRPr="008C6D73" w:rsidRDefault="00AE0DD2" w:rsidP="008C6D73">
      <w:pPr>
        <w:pStyle w:val="Nagwek2"/>
      </w:pPr>
      <w:r w:rsidRPr="008C6D73">
        <w:t>§ 1</w:t>
      </w:r>
    </w:p>
    <w:p w14:paraId="0133EE69" w14:textId="77777777" w:rsidR="00AE0DD2" w:rsidRPr="00AE0DD2" w:rsidRDefault="00AE0DD2" w:rsidP="00AE0DD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konkursowa, zwana dalej „Komisją”, dokonuje oceny merytorycznej ofert </w:t>
      </w:r>
      <w:r w:rsidR="00E06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(zwanych dalej ,,ofertami NGO”)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 (Oferentów NGO)</w:t>
      </w:r>
      <w:r w:rsidR="00E06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zgłaszanych w konkursach ogłaszanych w ramach realizacji Pilotażowego Programu ,,PRACA-INTEGRACJA”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4DE4CC" w14:textId="77777777" w:rsidR="00AE0DD2" w:rsidRPr="00AE0DD2" w:rsidRDefault="00AE0DD2" w:rsidP="00AE0DD2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merytorycznej dokonywanej przez Komisję podlegają wyłącznie oferty NGO zweryfikowane pozytywnie pod względem formalnym.</w:t>
      </w:r>
    </w:p>
    <w:p w14:paraId="074F37DC" w14:textId="77777777" w:rsidR="00AE0DD2" w:rsidRPr="00AE0DD2" w:rsidRDefault="00AE0DD2" w:rsidP="00AE0DD2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ofert NGO skierowanych do oceny merytorycznej sporządzana jest przez jednostkę organizacyjną Biura PFRON odpowiedzialną za organizację konkursu. </w:t>
      </w:r>
    </w:p>
    <w:p w14:paraId="051EB862" w14:textId="4627149A" w:rsidR="00AE0DD2" w:rsidRPr="00AE0DD2" w:rsidRDefault="00AE0DD2" w:rsidP="00AE0DD2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ofert NGO przeprowadzana jest przez każdego członka Komisji na Karcie oceny merytorycznej, stanowiącej </w:t>
      </w:r>
      <w:r w:rsidRPr="00AE0D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2 do oferty NGO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10 dni roboczych od d</w:t>
      </w:r>
      <w:r w:rsidR="00867AA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weryfikacji formalnej, z zastrzeżeniem ust. 5. </w:t>
      </w:r>
    </w:p>
    <w:p w14:paraId="069449B1" w14:textId="77777777" w:rsidR="00AE0DD2" w:rsidRPr="00AE0DD2" w:rsidRDefault="00AE0DD2" w:rsidP="00AE0DD2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sytuacji, o której mowa w § 4 ust. 4 pkt 5 niniejszego regulaminu, Komisja może podjąć decyzję o wydłużeniu terminu na dokonanie oceny merytorycznej oferty NGO maksymalnie o 5 dni roboczych od otrzymania aktualizacji budżetu od Oferenta NGO. Fakt wydłużenia terminu oceny merytorycznej oferty NGO, wraz z podaniem powodu wydłużenia tego terminu, musi zostać odnotowany w protokole z posiedzenia Komisji, podczas którego zapadła taka decyzja.</w:t>
      </w:r>
    </w:p>
    <w:p w14:paraId="01DBC6B9" w14:textId="77777777" w:rsidR="00AE0DD2" w:rsidRPr="00AE0DD2" w:rsidRDefault="00AE0DD2" w:rsidP="008C6D73">
      <w:pPr>
        <w:pStyle w:val="Nagwek2"/>
      </w:pPr>
      <w:r w:rsidRPr="00AE0DD2">
        <w:t>§ 2</w:t>
      </w:r>
    </w:p>
    <w:p w14:paraId="67635C41" w14:textId="77777777" w:rsidR="00AE0DD2" w:rsidRPr="00AE0DD2" w:rsidRDefault="00AE0DD2" w:rsidP="00AE0DD2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jest odpowiedzialny za zwoływanie posiedzeń Komisji, zapewnienie bezstronności i przejrzystości postępowania Komisji oraz za organizację jej pracy umożliwiającą poufność i bezstronność procesu oceny.</w:t>
      </w:r>
    </w:p>
    <w:p w14:paraId="69D71A88" w14:textId="77777777" w:rsidR="00AE0DD2" w:rsidRPr="00AE0DD2" w:rsidRDefault="00AE0DD2" w:rsidP="00AE0DD2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są ważne, gdy uczestniczy w nich 4 Członków Komisji w tym Protokolant i Przewodniczący Komisji lub osoba pisemnie przez niego upoważniona, spośród Członków Komisji, która przejmuje uprawnienia i obowiązki Przewodniczącego Komisji.</w:t>
      </w:r>
    </w:p>
    <w:p w14:paraId="7C21B9FB" w14:textId="77777777" w:rsidR="00AE0DD2" w:rsidRPr="00AE0DD2" w:rsidRDefault="00AE0DD2" w:rsidP="00AE0DD2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Calibri" w:hAnsi="Times New Roman" w:cs="Times New Roman"/>
          <w:sz w:val="24"/>
          <w:szCs w:val="24"/>
          <w:lang w:eastAsia="pl-PL"/>
        </w:rPr>
        <w:t>W pracach Komisji mogą uczestniczyć zaproszeni przez Przewodniczącego Komisji Eksperci zewnętrzni, zwani dalej ,,Ekspertami”,</w:t>
      </w:r>
      <w:r w:rsidRPr="00AE0DD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którzy mogą uczestniczyć w pracach Komisji z głosem doradczym lub wydawać opinie, w szczególności przedstawiciel </w:t>
      </w:r>
      <w:r w:rsidRPr="00AE0DD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pracodawcy, który złożył ofertę zatrudnienia osób niepełnosprawnych w ramach </w:t>
      </w:r>
      <w:r w:rsidRPr="00AE0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PILOTAŻOWEGO PROGRAMU „PRACA – INTEGRACJA”</w:t>
      </w:r>
      <w:r w:rsidRPr="00AE0DD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4E8C593" w14:textId="77777777" w:rsidR="00AE0DD2" w:rsidRPr="00AE0DD2" w:rsidRDefault="00AE0DD2" w:rsidP="008C6D73">
      <w:pPr>
        <w:pStyle w:val="Nagwek1"/>
      </w:pPr>
      <w:r w:rsidRPr="00AE0DD2">
        <w:t>§ 3</w:t>
      </w:r>
    </w:p>
    <w:p w14:paraId="60F067C0" w14:textId="77777777" w:rsidR="00AE0DD2" w:rsidRPr="00AE0DD2" w:rsidRDefault="00AE0DD2" w:rsidP="00AE0DD2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Komisji Przewodniczący Komisji dokonuje ustaleń z Członkami Komisji co do przebiegu posiedzeń Komisji, a także dokonuje wyboru Protokolanta spośród Członków Komisji. Protokolant wyłączony jest z dokonywania oceny merytorycznej ofert NGO.</w:t>
      </w:r>
    </w:p>
    <w:p w14:paraId="01C9184E" w14:textId="77777777" w:rsidR="00AE0DD2" w:rsidRPr="00AE0DD2" w:rsidRDefault="00AE0DD2" w:rsidP="00AE0DD2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terminy posiedzeń Komisji wyznacza Przewodniczący Komisji, z uwzględnieniem terminu przeprowadzenia oceny merytorycznej ofert NGO, o którym mowa w § 1 ust. 4-5 niniejszego regulaminu.</w:t>
      </w:r>
    </w:p>
    <w:p w14:paraId="1AB61CDD" w14:textId="77777777" w:rsidR="00AE0DD2" w:rsidRPr="00AE0DD2" w:rsidRDefault="00AE0DD2" w:rsidP="00AE0DD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dokonywania oceny merytorycznej ofert NGO muszą być przestrzegane następujące zasady:</w:t>
      </w:r>
    </w:p>
    <w:p w14:paraId="577E0A6D" w14:textId="77777777" w:rsidR="00AE0DD2" w:rsidRPr="00AE0DD2" w:rsidRDefault="00AE0DD2" w:rsidP="00AE0DD2">
      <w:pPr>
        <w:numPr>
          <w:ilvl w:val="0"/>
          <w:numId w:val="5"/>
        </w:num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i Eksperci zobowiązani są do zachowania w tajemnicy danych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zawartych w dokumentach związanych z oceną merytoryczną ofert NGO;</w:t>
      </w:r>
    </w:p>
    <w:p w14:paraId="1962D4A9" w14:textId="77777777" w:rsidR="00AE0DD2" w:rsidRPr="00AE0DD2" w:rsidRDefault="00AE0DD2" w:rsidP="00AE0DD2">
      <w:pPr>
        <w:numPr>
          <w:ilvl w:val="0"/>
          <w:numId w:val="5"/>
        </w:num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przebiegu i wynikach oceny merytorycznej ofert NGO, do momentu wyboru Oferenta NGO przez Zarząd PFRON na podstawie rekomendacji Komisji, mogą być udzielane wyłącznie przedstawicielom PFRON uczestniczącym w organizacji konkursu</w:t>
      </w:r>
      <w:r w:rsidRPr="00AE0D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ramach </w:t>
      </w:r>
      <w:r w:rsidRPr="00AE0D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PILOTAŻOWEGO PROGRAMU „PRACA – INTEGRACJA”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8521CB" w14:textId="77777777" w:rsidR="00AE0DD2" w:rsidRPr="00AE0DD2" w:rsidRDefault="00AE0DD2" w:rsidP="00AE0DD2">
      <w:pPr>
        <w:numPr>
          <w:ilvl w:val="0"/>
          <w:numId w:val="5"/>
        </w:num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zobowiązany jest spełniać swoje funkcje zgodnie z prawem, sumiennie, sprawnie, dokładnie i bezstronnie;</w:t>
      </w:r>
    </w:p>
    <w:p w14:paraId="316E771C" w14:textId="77777777" w:rsidR="00AE0DD2" w:rsidRPr="00AE0DD2" w:rsidRDefault="00AE0DD2" w:rsidP="00AE0DD2">
      <w:pPr>
        <w:numPr>
          <w:ilvl w:val="0"/>
          <w:numId w:val="5"/>
        </w:num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jest niezależny co do treści swoich opinii wyrażanych w trakcie dyskusji nad Ofertami NGO;</w:t>
      </w:r>
    </w:p>
    <w:p w14:paraId="75DC4B81" w14:textId="77777777" w:rsidR="00AE0DD2" w:rsidRPr="00AE0DD2" w:rsidRDefault="00AE0DD2" w:rsidP="00AE0DD2">
      <w:pPr>
        <w:numPr>
          <w:ilvl w:val="0"/>
          <w:numId w:val="5"/>
        </w:num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całego procesu oceny merytorycznej ofert NGO należy rejestrować w formie protokołów.</w:t>
      </w:r>
    </w:p>
    <w:p w14:paraId="1F498801" w14:textId="77777777" w:rsidR="00AE0DD2" w:rsidRPr="00AE0DD2" w:rsidRDefault="00AE0DD2" w:rsidP="00AE0DD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Komisji należy w szczególności:</w:t>
      </w:r>
    </w:p>
    <w:p w14:paraId="62F356D1" w14:textId="77777777" w:rsidR="00AE0DD2" w:rsidRPr="00AE0DD2" w:rsidRDefault="00AE0DD2" w:rsidP="00AE0DD2">
      <w:pPr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oraz czynny udział w pracach Komisji;</w:t>
      </w:r>
    </w:p>
    <w:p w14:paraId="2C568291" w14:textId="77777777" w:rsidR="00AE0DD2" w:rsidRPr="00AE0DD2" w:rsidRDefault="00AE0DD2" w:rsidP="00AE0DD2">
      <w:pPr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poinformowanie Przewodniczącego Komisji o okolicznościach uniemożliwiających wykonywanie obowiązków Członka Komisji.</w:t>
      </w:r>
    </w:p>
    <w:p w14:paraId="0DDBCB12" w14:textId="77777777" w:rsidR="00AE0DD2" w:rsidRPr="00AE0DD2" w:rsidRDefault="00AE0DD2" w:rsidP="00AE0DD2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Członka Komisji następuje w przypadku zaistnienia przeszkody uniemożliwiającej udział w pracach Komisji.</w:t>
      </w:r>
    </w:p>
    <w:p w14:paraId="440A3593" w14:textId="77777777" w:rsidR="00AE0DD2" w:rsidRPr="00AE0DD2" w:rsidRDefault="00AE0DD2" w:rsidP="00AE0DD2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miejsce odwołanego Członka Komisji Prezes Zarządu PFRON powołuje inną osobę.</w:t>
      </w:r>
    </w:p>
    <w:p w14:paraId="56B61F8B" w14:textId="77777777" w:rsidR="00AE0DD2" w:rsidRPr="00AE0DD2" w:rsidRDefault="00AE0DD2" w:rsidP="00AE0DD2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 problemach związanych z pracami Komisji Przewodniczący Komisji informuje Dyrektora jednostki organizacyjnej Biura PFRON odpowiedzialnej za organizację konkursu.</w:t>
      </w:r>
    </w:p>
    <w:p w14:paraId="23E4FADA" w14:textId="77777777" w:rsidR="00AE0DD2" w:rsidRPr="00AE0DD2" w:rsidRDefault="00AE0DD2" w:rsidP="008C6D73">
      <w:pPr>
        <w:pStyle w:val="Nagwek2"/>
      </w:pPr>
      <w:r w:rsidRPr="00AE0DD2">
        <w:t>§ 4</w:t>
      </w:r>
    </w:p>
    <w:p w14:paraId="2278517E" w14:textId="77777777" w:rsidR="00AE0DD2" w:rsidRPr="00AE0DD2" w:rsidRDefault="00AE0DD2" w:rsidP="00AE0DD2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oceny merytorycznej ofert NGO Członkowie Komisji podpisują deklarację bezstronności w odniesieniu do każdego Oferenta NGO (w sytuacji oferty wspólnej deklaracja dotyczy Lidera i partnerów wskazanych w ofercie NGO) oraz zobowiązanie do zachowania w tajemnicy danych i informacji zawartych w ofertach NGO skierowanych do oceny merytorycznej w ramach danego konkursu. Deklaracja bezstronności stanowi część ogólną Karty oceny merytorycznej. </w:t>
      </w:r>
    </w:p>
    <w:p w14:paraId="7CDB0F82" w14:textId="77777777" w:rsidR="00AE0DD2" w:rsidRPr="00AE0DD2" w:rsidRDefault="00AE0DD2" w:rsidP="00AE0DD2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Niepodpisanie deklaracji bezstronności i zobowiązania, o których mowa w ust. 1, pozbawia Członka Komisji możliwości oceny merytorycznej dotyczącej danej oferty NGO. </w:t>
      </w:r>
    </w:p>
    <w:p w14:paraId="7AEEEC07" w14:textId="77777777" w:rsidR="00AE0DD2" w:rsidRPr="00AE0DD2" w:rsidRDefault="00AE0DD2" w:rsidP="00AE0D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bezstronności i zobowiązanie, o których mowa w ust. 1, podpisywane są także przez Eksperta.</w:t>
      </w:r>
    </w:p>
    <w:p w14:paraId="3AE1C7D9" w14:textId="77777777" w:rsidR="00AE0DD2" w:rsidRPr="00AE0DD2" w:rsidRDefault="00AE0DD2" w:rsidP="00AE0D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ofert NGO przeprowadzana jest w następujący sposób:</w:t>
      </w:r>
    </w:p>
    <w:p w14:paraId="02BC9AB1" w14:textId="77777777" w:rsidR="00AE0DD2" w:rsidRPr="00AE0DD2" w:rsidRDefault="00AE0DD2" w:rsidP="00AE0DD2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NGO ocenia każdy Członek Komisji;</w:t>
      </w:r>
    </w:p>
    <w:p w14:paraId="18871706" w14:textId="77777777" w:rsidR="00AE0DD2" w:rsidRPr="00AE0DD2" w:rsidRDefault="00AE0DD2" w:rsidP="00AE0DD2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Ekspert sporządza opinię do oferty NGO w zakresie części niefinansowej oferty, zgodnie z zakresem wskazanym w Karcie oceny merytorycznej; </w:t>
      </w:r>
    </w:p>
    <w:p w14:paraId="118B06CB" w14:textId="77777777" w:rsidR="00AE0DD2" w:rsidRPr="00AE0DD2" w:rsidRDefault="00AE0DD2" w:rsidP="00AE0DD2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zawiera m.in.:</w:t>
      </w:r>
    </w:p>
    <w:p w14:paraId="1D905A69" w14:textId="3AD712D8" w:rsidR="00AE0DD2" w:rsidRPr="00AE0DD2" w:rsidRDefault="00AE0DD2" w:rsidP="00AE0DD2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wskazanego przez Oferenta NGO doświadczenia w realizacji zadań </w:t>
      </w:r>
      <w:r w:rsidR="00395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aktywizacji zawodowej osób niepełnosprawnych,</w:t>
      </w:r>
    </w:p>
    <w:p w14:paraId="45E93E9E" w14:textId="67FAC89A" w:rsidR="00AE0DD2" w:rsidRPr="00AE0DD2" w:rsidRDefault="00AE0DD2" w:rsidP="00AE0DD2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podziału zadań wśród partnerów (jeżeli oferta jest wspólna) – ich czytelności </w:t>
      </w:r>
      <w:r w:rsidR="00395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i spójności,</w:t>
      </w:r>
    </w:p>
    <w:p w14:paraId="20141063" w14:textId="77777777" w:rsidR="00AE0DD2" w:rsidRPr="00AE0DD2" w:rsidRDefault="00AE0DD2" w:rsidP="00AE0DD2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proponowanych działań przez Oferenta NGO, w tym:</w:t>
      </w:r>
    </w:p>
    <w:p w14:paraId="3CC56967" w14:textId="77777777" w:rsidR="00AE0DD2" w:rsidRPr="00AE0DD2" w:rsidRDefault="00AE0DD2" w:rsidP="00395D80">
      <w:pPr>
        <w:numPr>
          <w:ilvl w:val="0"/>
          <w:numId w:val="13"/>
        </w:numPr>
        <w:spacing w:before="60" w:after="6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proponowanych zasad rekrutacji adresatów programu,</w:t>
      </w:r>
    </w:p>
    <w:p w14:paraId="7C695A2C" w14:textId="77777777" w:rsidR="00AE0DD2" w:rsidRPr="00AE0DD2" w:rsidRDefault="00AE0DD2" w:rsidP="00395D80">
      <w:pPr>
        <w:numPr>
          <w:ilvl w:val="0"/>
          <w:numId w:val="13"/>
        </w:numPr>
        <w:spacing w:before="60" w:after="6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planowanych działań wspomagających osobę niepełnosprawną przed zatrudnieniem na wskazanych przez potencjalnego pracodawcę stanowiskach,</w:t>
      </w:r>
    </w:p>
    <w:p w14:paraId="70B54E4E" w14:textId="1AEE9783" w:rsidR="00AE0DD2" w:rsidRPr="00AE0DD2" w:rsidRDefault="00AE0DD2" w:rsidP="00395D80">
      <w:pPr>
        <w:numPr>
          <w:ilvl w:val="0"/>
          <w:numId w:val="13"/>
        </w:numPr>
        <w:spacing w:before="60" w:after="6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planowanych działań wspomagających osobę niepełnosprawną </w:t>
      </w:r>
      <w:r w:rsidR="00395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zatrudnienia, </w:t>
      </w:r>
    </w:p>
    <w:p w14:paraId="7689FE25" w14:textId="77777777" w:rsidR="00AE0DD2" w:rsidRPr="00AE0DD2" w:rsidRDefault="00AE0DD2" w:rsidP="00AE0DD2">
      <w:pPr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weryfikację budżetu oferty NGO w celu wyeliminowania kosztów nieuprawnionych, zbędnych i zawyżonych, </w:t>
      </w:r>
    </w:p>
    <w:p w14:paraId="26E7BC5E" w14:textId="77777777" w:rsidR="00AE0DD2" w:rsidRPr="00AE0DD2" w:rsidRDefault="00AE0DD2" w:rsidP="00AE0DD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oferty NGO każdy z Członków Komisji przedstawia ocenę merytoryczną oferty NGO na Karcie oceny merytorycznej przekazywanej po posiedzeniu Komisji Przewodniczącemu Komisji (karta musi być podpisana przez osobę sporządzającą);</w:t>
      </w:r>
    </w:p>
    <w:p w14:paraId="23321D6B" w14:textId="4C7F1239" w:rsidR="00AE0DD2" w:rsidRPr="00AE0DD2" w:rsidRDefault="00AE0DD2" w:rsidP="00AE0DD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przeprowadzana jest dyskusja w celu wypracowania wspólnego stanowiska Komisji</w:t>
      </w:r>
      <w:r w:rsidR="00E065F8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zidentyfikowania przez Komisję kosztów niekwalifikowalnych, zbędnych lub zawyżonych, Oferent NGO informowany jest </w:t>
      </w:r>
      <w:r w:rsidR="00395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zaktualizowania budżetu zgodnie z uwagami Komisji – w terminie wyznaczonym przez PFRON. Po przesłaniu zaktualizowanego budżetu oferta NGO podlega ponownej ocenie przez Komisję. W sytuacji, kiedy Oferent NGO nie dokona aktualizacji budżetu z zachowaniem wyznaczonego przez Komisję terminu – oferta NGO zostaje oceniona negatywnie;</w:t>
      </w:r>
    </w:p>
    <w:p w14:paraId="549F5F59" w14:textId="77777777" w:rsidR="00AE0DD2" w:rsidRPr="00AE0DD2" w:rsidRDefault="00AE0DD2" w:rsidP="00AE0DD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przeprowadza głosowanie dotyczące:</w:t>
      </w:r>
    </w:p>
    <w:p w14:paraId="0119AC22" w14:textId="77777777" w:rsidR="00AE0DD2" w:rsidRPr="00AE0DD2" w:rsidRDefault="00AE0DD2" w:rsidP="00AE0DD2">
      <w:pPr>
        <w:numPr>
          <w:ilvl w:val="0"/>
          <w:numId w:val="11"/>
        </w:numPr>
        <w:tabs>
          <w:tab w:val="left" w:pos="993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oceny oferty NGO (ocena pozytywna/negatywna),</w:t>
      </w:r>
    </w:p>
    <w:p w14:paraId="50ED3CD0" w14:textId="77777777" w:rsidR="00AE0DD2" w:rsidRPr="00AE0DD2" w:rsidRDefault="00AE0DD2" w:rsidP="00AE0DD2">
      <w:pPr>
        <w:numPr>
          <w:ilvl w:val="0"/>
          <w:numId w:val="11"/>
        </w:numPr>
        <w:tabs>
          <w:tab w:val="left" w:pos="993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proponowanej kwoty dofinansowania;</w:t>
      </w:r>
    </w:p>
    <w:p w14:paraId="3842D4B3" w14:textId="77777777" w:rsidR="00AE0DD2" w:rsidRPr="00AE0DD2" w:rsidRDefault="00AE0DD2" w:rsidP="00AE0DD2">
      <w:pPr>
        <w:numPr>
          <w:ilvl w:val="0"/>
          <w:numId w:val="8"/>
        </w:numPr>
        <w:tabs>
          <w:tab w:val="num" w:pos="426"/>
          <w:tab w:val="left" w:pos="851"/>
          <w:tab w:val="left" w:pos="113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decyduje głos Przewodniczącego Komisji;</w:t>
      </w:r>
    </w:p>
    <w:p w14:paraId="76E6B3DC" w14:textId="77777777" w:rsidR="00AE0DD2" w:rsidRPr="00AE0DD2" w:rsidRDefault="00AE0DD2" w:rsidP="00AE0DD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Przewodniczącego Członek Komisji wypełnia uzgodnioną przez Komisję Kartę oceny merytorycznej;</w:t>
      </w:r>
    </w:p>
    <w:p w14:paraId="0B8F0127" w14:textId="77777777" w:rsidR="00AE0DD2" w:rsidRPr="00AE0DD2" w:rsidRDefault="00AE0DD2" w:rsidP="00AE0DD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oceny merytorycznej w imieniu Komisji podpisuje Przewodniczący Komisji.</w:t>
      </w:r>
    </w:p>
    <w:p w14:paraId="7BEE8A4C" w14:textId="77777777" w:rsidR="008C6D73" w:rsidRDefault="008C6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6B4D13DC" w14:textId="08F00B4F" w:rsidR="00395D80" w:rsidRPr="00395D80" w:rsidRDefault="00AE0DD2" w:rsidP="008C6D73">
      <w:pPr>
        <w:pStyle w:val="Nagwek2"/>
      </w:pPr>
      <w:bookmarkStart w:id="0" w:name="_GoBack"/>
      <w:bookmarkEnd w:id="0"/>
      <w:r w:rsidRPr="00AE0DD2">
        <w:lastRenderedPageBreak/>
        <w:t>§ 5</w:t>
      </w:r>
    </w:p>
    <w:p w14:paraId="15C867CA" w14:textId="77777777" w:rsidR="00AE0DD2" w:rsidRPr="00AE0DD2" w:rsidRDefault="00AE0DD2" w:rsidP="00AE0DD2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posiedzenia Komisji sporządza się protokół, który podpisują Członkowie Komisji biorący udział w posiedzeniu, w tym Protokolant.</w:t>
      </w:r>
    </w:p>
    <w:p w14:paraId="4442807B" w14:textId="77777777" w:rsidR="00AE0DD2" w:rsidRPr="00AE0DD2" w:rsidRDefault="00AE0DD2" w:rsidP="00AE0DD2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powinien zawierać w szczególności:</w:t>
      </w:r>
    </w:p>
    <w:p w14:paraId="4647CF31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miejsca i terminu posiedzenia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BE462D7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podpisaną listę obecności Członków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załącznika do protokołu;</w:t>
      </w:r>
    </w:p>
    <w:p w14:paraId="13B0BC5B" w14:textId="6E616530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osoby zastępującej Przewodniczącego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Przewodniczący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zastępowany przez innego Członka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Komisji,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załącznika </w:t>
      </w:r>
      <w:r w:rsidR="00395D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protokołu;</w:t>
      </w:r>
    </w:p>
    <w:p w14:paraId="7E36B843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obecności Ekspertów z podpisaną listą obecności Ekspertów w formie załącznika do protokołu;</w:t>
      </w:r>
    </w:p>
    <w:p w14:paraId="1447CDF1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opinie Ekspertów w formie załączników do protokołu;</w:t>
      </w:r>
    </w:p>
    <w:p w14:paraId="21B443BC" w14:textId="4ADAFE40" w:rsidR="00AE0DD2" w:rsidRPr="00BD58B0" w:rsidRDefault="00AE0DD2" w:rsidP="00BD58B0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 deklaracje bezstronności, o których mowa w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 ust. 1 niniejszego regulaminu, w formie załącznika do protokołu, przy czym w odniesieniu do danego Członka Komisji i Eksperta, dokumenty te powinny zostać załączone do protokołu </w:t>
      </w:r>
      <w:r w:rsidR="00A537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posiedzenia Komisji, w którym po raz pierwszy osoby te uczestniczą;</w:t>
      </w:r>
    </w:p>
    <w:p w14:paraId="1B974B15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merytoryczne poszczególnych Członków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przedstawiane według kryteriów oceny wskazanych w ogłoszeniu o konkursie;</w:t>
      </w:r>
    </w:p>
    <w:p w14:paraId="1628188F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wypełnione i podpisane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oceny merytorycznej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załącznika do protokołu;</w:t>
      </w:r>
    </w:p>
    <w:p w14:paraId="1B42D4B5" w14:textId="77777777" w:rsidR="00AE0DD2" w:rsidRPr="00AE0DD2" w:rsidRDefault="00AE0DD2" w:rsidP="00AE0DD2">
      <w:pPr>
        <w:numPr>
          <w:ilvl w:val="1"/>
          <w:numId w:val="1"/>
        </w:numPr>
        <w:spacing w:before="60" w:after="6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ofert NGO ocenionych na posiedzeniu, sporządzony w rozbiciu na oferty zaopiniowane pozytywnie i negatywnie z zachowaniem następujących zasad:</w:t>
      </w:r>
    </w:p>
    <w:p w14:paraId="6DE6E46A" w14:textId="77777777" w:rsidR="00AE0DD2" w:rsidRPr="00AE0DD2" w:rsidRDefault="00AE0DD2" w:rsidP="00AE0DD2">
      <w:pPr>
        <w:numPr>
          <w:ilvl w:val="2"/>
          <w:numId w:val="1"/>
        </w:numPr>
        <w:spacing w:before="60" w:after="6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poszczególnych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Ofertach NGO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podać końcową ocenę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DD5AD58" w14:textId="77777777" w:rsidR="00AE0DD2" w:rsidRPr="00AE0DD2" w:rsidRDefault="00AE0DD2" w:rsidP="00AE0DD2">
      <w:pPr>
        <w:numPr>
          <w:ilvl w:val="2"/>
          <w:numId w:val="1"/>
        </w:numPr>
        <w:spacing w:before="60" w:after="6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ofert NGO ocenionych pozytywnie – przy końcowej ocenie należy wskazać proponowaną kwotę oferty.</w:t>
      </w:r>
    </w:p>
    <w:p w14:paraId="1967E61B" w14:textId="50528F78" w:rsidR="00C92724" w:rsidRDefault="00AE0DD2" w:rsidP="00E065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Protokoły przechowuje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właściwa jednostka organizacyjna Biura PFRON odpowiedzialna </w:t>
      </w:r>
      <w:r w:rsidRPr="00AE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realizację konkursu.</w:t>
      </w:r>
    </w:p>
    <w:p w14:paraId="0A56D6F9" w14:textId="4081C2E8" w:rsidR="006931D4" w:rsidRDefault="006931D4" w:rsidP="006931D4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871D7" w14:textId="77777777" w:rsidR="006931D4" w:rsidRPr="00E065F8" w:rsidRDefault="006931D4" w:rsidP="006931D4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31D4" w:rsidRPr="00E06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8E73" w14:textId="77777777" w:rsidR="00CD72CE" w:rsidRDefault="00CD72CE" w:rsidP="007F4876">
      <w:pPr>
        <w:spacing w:after="0" w:line="240" w:lineRule="auto"/>
      </w:pPr>
      <w:r>
        <w:separator/>
      </w:r>
    </w:p>
  </w:endnote>
  <w:endnote w:type="continuationSeparator" w:id="0">
    <w:p w14:paraId="2A369082" w14:textId="77777777" w:rsidR="00CD72CE" w:rsidRDefault="00CD72CE" w:rsidP="007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45518434"/>
      <w:docPartObj>
        <w:docPartGallery w:val="Page Numbers (Bottom of Page)"/>
        <w:docPartUnique/>
      </w:docPartObj>
    </w:sdtPr>
    <w:sdtEndPr/>
    <w:sdtContent>
      <w:p w14:paraId="49C328F6" w14:textId="36D985DB" w:rsidR="00395D80" w:rsidRPr="00395D80" w:rsidRDefault="00395D80">
        <w:pPr>
          <w:pStyle w:val="Stopka"/>
          <w:jc w:val="right"/>
          <w:rPr>
            <w:rFonts w:ascii="Times New Roman" w:hAnsi="Times New Roman" w:cs="Times New Roman"/>
          </w:rPr>
        </w:pPr>
        <w:r w:rsidRPr="00395D80">
          <w:rPr>
            <w:rFonts w:ascii="Times New Roman" w:hAnsi="Times New Roman" w:cs="Times New Roman"/>
          </w:rPr>
          <w:fldChar w:fldCharType="begin"/>
        </w:r>
        <w:r w:rsidRPr="00395D80">
          <w:rPr>
            <w:rFonts w:ascii="Times New Roman" w:hAnsi="Times New Roman" w:cs="Times New Roman"/>
          </w:rPr>
          <w:instrText>PAGE   \* MERGEFORMAT</w:instrText>
        </w:r>
        <w:r w:rsidRPr="00395D80">
          <w:rPr>
            <w:rFonts w:ascii="Times New Roman" w:hAnsi="Times New Roman" w:cs="Times New Roman"/>
          </w:rPr>
          <w:fldChar w:fldCharType="separate"/>
        </w:r>
        <w:r w:rsidRPr="00395D80">
          <w:rPr>
            <w:rFonts w:ascii="Times New Roman" w:hAnsi="Times New Roman" w:cs="Times New Roman"/>
          </w:rPr>
          <w:t>2</w:t>
        </w:r>
        <w:r w:rsidRPr="00395D80">
          <w:rPr>
            <w:rFonts w:ascii="Times New Roman" w:hAnsi="Times New Roman" w:cs="Times New Roman"/>
          </w:rPr>
          <w:fldChar w:fldCharType="end"/>
        </w:r>
      </w:p>
    </w:sdtContent>
  </w:sdt>
  <w:p w14:paraId="3B0C5CF1" w14:textId="77777777" w:rsidR="007F4876" w:rsidRDefault="007F4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E1FBF" w14:textId="77777777" w:rsidR="00CD72CE" w:rsidRDefault="00CD72CE" w:rsidP="007F4876">
      <w:pPr>
        <w:spacing w:after="0" w:line="240" w:lineRule="auto"/>
      </w:pPr>
      <w:r>
        <w:separator/>
      </w:r>
    </w:p>
  </w:footnote>
  <w:footnote w:type="continuationSeparator" w:id="0">
    <w:p w14:paraId="0A4D66F2" w14:textId="77777777" w:rsidR="00CD72CE" w:rsidRDefault="00CD72CE" w:rsidP="007F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B45"/>
    <w:multiLevelType w:val="hybridMultilevel"/>
    <w:tmpl w:val="1BEECF34"/>
    <w:lvl w:ilvl="0" w:tplc="D9DEC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018CF"/>
    <w:multiLevelType w:val="hybridMultilevel"/>
    <w:tmpl w:val="B8644328"/>
    <w:lvl w:ilvl="0" w:tplc="A47A4E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1" w:tplc="01D0DC0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4"/>
      </w:rPr>
    </w:lvl>
    <w:lvl w:ilvl="2" w:tplc="20D875C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A727F"/>
    <w:multiLevelType w:val="hybridMultilevel"/>
    <w:tmpl w:val="A8EE42E4"/>
    <w:lvl w:ilvl="0" w:tplc="009E15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60824"/>
    <w:multiLevelType w:val="hybridMultilevel"/>
    <w:tmpl w:val="34B8CA40"/>
    <w:lvl w:ilvl="0" w:tplc="1C647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233D1"/>
    <w:multiLevelType w:val="hybridMultilevel"/>
    <w:tmpl w:val="2B78FA54"/>
    <w:lvl w:ilvl="0" w:tplc="05BEC0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20620"/>
    <w:multiLevelType w:val="hybridMultilevel"/>
    <w:tmpl w:val="99C0D0A4"/>
    <w:lvl w:ilvl="0" w:tplc="7B722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B5A60"/>
    <w:multiLevelType w:val="hybridMultilevel"/>
    <w:tmpl w:val="CE4EFDB6"/>
    <w:lvl w:ilvl="0" w:tplc="16B6B3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D4A4AF0"/>
    <w:multiLevelType w:val="hybridMultilevel"/>
    <w:tmpl w:val="2ADA7314"/>
    <w:lvl w:ilvl="0" w:tplc="6644C06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852EB5"/>
    <w:multiLevelType w:val="hybridMultilevel"/>
    <w:tmpl w:val="FF2A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41A7"/>
    <w:multiLevelType w:val="hybridMultilevel"/>
    <w:tmpl w:val="E8B63A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BF2050"/>
    <w:multiLevelType w:val="hybridMultilevel"/>
    <w:tmpl w:val="9BDE27F6"/>
    <w:lvl w:ilvl="0" w:tplc="30745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733C3"/>
    <w:multiLevelType w:val="hybridMultilevel"/>
    <w:tmpl w:val="405A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4A95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92517"/>
    <w:multiLevelType w:val="hybridMultilevel"/>
    <w:tmpl w:val="5F7C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D2"/>
    <w:rsid w:val="00395D80"/>
    <w:rsid w:val="006931D4"/>
    <w:rsid w:val="0070622E"/>
    <w:rsid w:val="007346CB"/>
    <w:rsid w:val="007F4876"/>
    <w:rsid w:val="00867AA8"/>
    <w:rsid w:val="008C6D73"/>
    <w:rsid w:val="00A53789"/>
    <w:rsid w:val="00AE0DD2"/>
    <w:rsid w:val="00BD58B0"/>
    <w:rsid w:val="00C92724"/>
    <w:rsid w:val="00CD72CE"/>
    <w:rsid w:val="00E065F8"/>
    <w:rsid w:val="00F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532"/>
  <w15:chartTrackingRefBased/>
  <w15:docId w15:val="{6D03E9F8-CF90-45D1-9D8F-6EC7E3D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D73"/>
    <w:pPr>
      <w:spacing w:after="120" w:line="48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D73"/>
    <w:pPr>
      <w:spacing w:before="360" w:after="24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876"/>
  </w:style>
  <w:style w:type="paragraph" w:styleId="Stopka">
    <w:name w:val="footer"/>
    <w:basedOn w:val="Normalny"/>
    <w:link w:val="StopkaZnak"/>
    <w:uiPriority w:val="99"/>
    <w:unhideWhenUsed/>
    <w:rsid w:val="007F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876"/>
  </w:style>
  <w:style w:type="paragraph" w:styleId="Tekstdymka">
    <w:name w:val="Balloon Text"/>
    <w:basedOn w:val="Normalny"/>
    <w:link w:val="TekstdymkaZnak"/>
    <w:uiPriority w:val="99"/>
    <w:semiHidden/>
    <w:unhideWhenUsed/>
    <w:rsid w:val="00A5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C6D73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6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Małgorzata</dc:creator>
  <cp:keywords/>
  <dc:description/>
  <cp:lastModifiedBy>Wojakowski Tomasz</cp:lastModifiedBy>
  <cp:revision>3</cp:revision>
  <dcterms:created xsi:type="dcterms:W3CDTF">2019-10-28T10:02:00Z</dcterms:created>
  <dcterms:modified xsi:type="dcterms:W3CDTF">2019-10-29T09:37:00Z</dcterms:modified>
</cp:coreProperties>
</file>