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080" w14:textId="42D5549B" w:rsidR="00A34024" w:rsidRPr="00FD4C5D" w:rsidRDefault="00A34024" w:rsidP="00467D7D">
      <w:pPr>
        <w:pStyle w:val="Nagwek1"/>
      </w:pPr>
      <w:r w:rsidRPr="00FD4C5D">
        <w:t>Panel ekspertów</w:t>
      </w:r>
    </w:p>
    <w:p w14:paraId="595EFDBA" w14:textId="5D99CF31" w:rsidR="0031186D" w:rsidRPr="0031186D" w:rsidRDefault="0031186D" w:rsidP="00D25BF1">
      <w:r w:rsidRPr="0031186D">
        <w:t>Wstępne zagadnienia tematyczne na panel ekspertów</w:t>
      </w:r>
    </w:p>
    <w:p w14:paraId="0FE8A2F3" w14:textId="16586D1F" w:rsidR="00A34024" w:rsidRPr="0066486A" w:rsidRDefault="00A34024" w:rsidP="00467D7D">
      <w:pPr>
        <w:pStyle w:val="Nagwek2"/>
      </w:pPr>
      <w:r w:rsidRPr="0066486A">
        <w:t xml:space="preserve">Efektywność wsparcia </w:t>
      </w:r>
    </w:p>
    <w:p w14:paraId="0431E28C" w14:textId="2446B7D3" w:rsidR="00A34024" w:rsidRDefault="00A34024" w:rsidP="00D25BF1">
      <w:pPr>
        <w:pStyle w:val="Akapitzlist"/>
        <w:numPr>
          <w:ilvl w:val="0"/>
          <w:numId w:val="1"/>
        </w:numPr>
      </w:pPr>
      <w:r>
        <w:t>Przedstawi</w:t>
      </w:r>
      <w:r w:rsidR="00DF7388">
        <w:t xml:space="preserve">ona zostanie </w:t>
      </w:r>
      <w:r>
        <w:t xml:space="preserve">efektywność zrealizowanych grantów wraz z czynnikami, od których ona zależy. </w:t>
      </w:r>
      <w:r w:rsidR="00DF7388">
        <w:t>E</w:t>
      </w:r>
      <w:r>
        <w:t>ksper</w:t>
      </w:r>
      <w:r w:rsidR="00DF7388">
        <w:t xml:space="preserve">ci zostaną poproszeni </w:t>
      </w:r>
      <w:r>
        <w:t>o komentarz krytyczny i/lub uzupełnienie czynników, które wpływają na efektywność.</w:t>
      </w:r>
    </w:p>
    <w:p w14:paraId="406C777B" w14:textId="0C061E05" w:rsidR="00A34024" w:rsidRDefault="00DF7388" w:rsidP="00D25BF1">
      <w:pPr>
        <w:pStyle w:val="Akapitzlist"/>
        <w:numPr>
          <w:ilvl w:val="0"/>
          <w:numId w:val="1"/>
        </w:numPr>
      </w:pPr>
      <w:r>
        <w:t xml:space="preserve">Ustalone zostaną </w:t>
      </w:r>
      <w:r w:rsidR="00A34024">
        <w:t xml:space="preserve">1-2 rozwiązania, </w:t>
      </w:r>
      <w:r w:rsidR="002B6365">
        <w:t xml:space="preserve">które będzie można </w:t>
      </w:r>
      <w:r w:rsidR="00A34024">
        <w:t>uznać za optymalne.</w:t>
      </w:r>
    </w:p>
    <w:p w14:paraId="24AC7FB6" w14:textId="1584675B" w:rsidR="00BA4772" w:rsidRDefault="00BA4772" w:rsidP="00A2319D">
      <w:pPr>
        <w:ind w:firstLine="708"/>
      </w:pPr>
      <w:r w:rsidRPr="002B6365">
        <w:rPr>
          <w:b/>
          <w:bCs/>
        </w:rPr>
        <w:t>Efekt</w:t>
      </w:r>
      <w:r>
        <w:t xml:space="preserve"> = ustalenie optymalnych kosztowo modeli wdrażania</w:t>
      </w:r>
    </w:p>
    <w:p w14:paraId="7792A6C7" w14:textId="3CEFEB06" w:rsidR="00A34024" w:rsidRPr="0066486A" w:rsidRDefault="00A34024" w:rsidP="00467D7D">
      <w:pPr>
        <w:pStyle w:val="Nagwek2"/>
      </w:pPr>
      <w:r w:rsidRPr="0066486A">
        <w:t>Modele wsparcia</w:t>
      </w:r>
    </w:p>
    <w:p w14:paraId="08680276" w14:textId="5A88EADF" w:rsidR="00BA4772" w:rsidRDefault="00A34024" w:rsidP="007A25F6">
      <w:pPr>
        <w:pStyle w:val="Akapitzlist"/>
        <w:numPr>
          <w:ilvl w:val="0"/>
          <w:numId w:val="5"/>
        </w:numPr>
      </w:pPr>
      <w:r>
        <w:t>Przedstawi</w:t>
      </w:r>
      <w:r w:rsidR="00106053">
        <w:t xml:space="preserve">one zostaną </w:t>
      </w:r>
      <w:r>
        <w:t>modelowe sposoby wdrażani</w:t>
      </w:r>
      <w:r w:rsidR="00106053">
        <w:t>a</w:t>
      </w:r>
      <w:r>
        <w:t xml:space="preserve"> i świadczenia usługi </w:t>
      </w:r>
      <w:r w:rsidRPr="00467D7D">
        <w:rPr>
          <w:lang w:val="en-US"/>
        </w:rPr>
        <w:t>door-to-door</w:t>
      </w:r>
      <w:r>
        <w:t xml:space="preserve"> przez </w:t>
      </w:r>
      <w:r w:rsidR="006C65BD">
        <w:t>J</w:t>
      </w:r>
      <w:r w:rsidR="00EF22DC">
        <w:t xml:space="preserve">ednostki </w:t>
      </w:r>
      <w:r w:rsidR="006C65BD">
        <w:t>S</w:t>
      </w:r>
      <w:r w:rsidR="00EF22DC">
        <w:t xml:space="preserve">amorządu </w:t>
      </w:r>
      <w:r w:rsidR="006C65BD">
        <w:t>T</w:t>
      </w:r>
      <w:r w:rsidR="00EF22DC">
        <w:t>erytorialnego (</w:t>
      </w:r>
      <w:r>
        <w:t>JST</w:t>
      </w:r>
      <w:r w:rsidR="00EF22DC">
        <w:t>)</w:t>
      </w:r>
      <w:r>
        <w:t xml:space="preserve">. </w:t>
      </w:r>
      <w:r w:rsidR="00106053">
        <w:t xml:space="preserve">Eksperci zostaną poproszeni </w:t>
      </w:r>
      <w:r w:rsidR="00BA4772">
        <w:t>o krytyczn</w:t>
      </w:r>
      <w:r w:rsidR="00106053">
        <w:t>ą</w:t>
      </w:r>
      <w:r w:rsidR="00BA4772">
        <w:t xml:space="preserve"> refleksję i zwrócenie uwagi czy wszystkie modele są skuteczne, z punktu widzenia potrzeb użytkowników/użytkowniczek.</w:t>
      </w:r>
    </w:p>
    <w:p w14:paraId="57567218" w14:textId="78021DCB" w:rsidR="00BA4772" w:rsidRDefault="00593264" w:rsidP="007A25F6">
      <w:pPr>
        <w:pStyle w:val="Akapitzlist"/>
        <w:numPr>
          <w:ilvl w:val="0"/>
          <w:numId w:val="5"/>
        </w:numPr>
      </w:pPr>
      <w:r>
        <w:t>E</w:t>
      </w:r>
      <w:r w:rsidR="00BA4772">
        <w:t>ksper</w:t>
      </w:r>
      <w:r>
        <w:t xml:space="preserve">ci zostaną poproszeni o </w:t>
      </w:r>
      <w:r w:rsidR="00B3070F">
        <w:t xml:space="preserve">ocenę, czy </w:t>
      </w:r>
      <w:r w:rsidR="00BA4772">
        <w:t xml:space="preserve">wszystkie modele są równoważne pod względem potencjalnych efektów i warte upowszechniania. </w:t>
      </w:r>
    </w:p>
    <w:p w14:paraId="1C9FC391" w14:textId="5C777E05" w:rsidR="00BA4772" w:rsidRDefault="00BA4772" w:rsidP="00231229">
      <w:pPr>
        <w:ind w:firstLine="708"/>
      </w:pPr>
      <w:r w:rsidRPr="00231229">
        <w:rPr>
          <w:b/>
          <w:bCs/>
        </w:rPr>
        <w:t>Efekt</w:t>
      </w:r>
      <w:r>
        <w:t xml:space="preserve"> = wskazanie modeli wartych upowszechniania </w:t>
      </w:r>
    </w:p>
    <w:p w14:paraId="79485D4D" w14:textId="55C95B27" w:rsidR="00BA4772" w:rsidRDefault="00BA4772" w:rsidP="007A25F6">
      <w:pPr>
        <w:pStyle w:val="Akapitzlist"/>
        <w:numPr>
          <w:ilvl w:val="0"/>
          <w:numId w:val="5"/>
        </w:numPr>
      </w:pPr>
      <w:r>
        <w:t>Przedstawi</w:t>
      </w:r>
      <w:r w:rsidR="00B11CDE">
        <w:t xml:space="preserve">one zostaną </w:t>
      </w:r>
      <w:r>
        <w:t xml:space="preserve">modelowe sposoby dostosowania architektonicznego </w:t>
      </w:r>
      <w:r w:rsidR="00B11CDE">
        <w:t xml:space="preserve">stosowane </w:t>
      </w:r>
      <w:r>
        <w:t xml:space="preserve">przez JST. </w:t>
      </w:r>
      <w:r w:rsidR="00BB5F68">
        <w:t xml:space="preserve">Zadaniem ekspertów będzie ocena, </w:t>
      </w:r>
      <w:r>
        <w:t>czy wszystkie modele są skuteczne z punktu widzenia potrzeb użytkowników/użytkowniczek.</w:t>
      </w:r>
    </w:p>
    <w:p w14:paraId="68304E87" w14:textId="76377189" w:rsidR="00BA4772" w:rsidRDefault="00BB5F68" w:rsidP="007A25F6">
      <w:pPr>
        <w:pStyle w:val="Akapitzlist"/>
        <w:numPr>
          <w:ilvl w:val="0"/>
          <w:numId w:val="5"/>
        </w:numPr>
      </w:pPr>
      <w:r>
        <w:t xml:space="preserve">Eksperci ocenią także, </w:t>
      </w:r>
      <w:r w:rsidR="00BA4772">
        <w:t xml:space="preserve">czy wszystkie modele są równoważne pod względem potencjalnych efektów i warte upowszechniania. </w:t>
      </w:r>
    </w:p>
    <w:p w14:paraId="77826597" w14:textId="666D1272" w:rsidR="00BA4772" w:rsidRDefault="00BA4772" w:rsidP="007A25F6">
      <w:pPr>
        <w:pStyle w:val="Akapitzlist"/>
        <w:numPr>
          <w:ilvl w:val="0"/>
          <w:numId w:val="5"/>
        </w:numPr>
      </w:pPr>
      <w:r>
        <w:t>Dyskusja nad brakiem gotowości JST do realizacji grantów w zakresie dostosowań architektonicznych.</w:t>
      </w:r>
    </w:p>
    <w:p w14:paraId="20417F1D" w14:textId="55162AAC" w:rsidR="00BA4772" w:rsidRDefault="00BA4772" w:rsidP="00A2319D">
      <w:pPr>
        <w:ind w:firstLine="708"/>
      </w:pPr>
      <w:r w:rsidRPr="00DC3B28">
        <w:rPr>
          <w:b/>
          <w:bCs/>
        </w:rPr>
        <w:t>Efekt</w:t>
      </w:r>
      <w:r>
        <w:t xml:space="preserve"> = wskazanie modeli wartych upowszechniania + lista barier w realizacji grantów</w:t>
      </w:r>
    </w:p>
    <w:p w14:paraId="4781D374" w14:textId="131ADB9E" w:rsidR="00A34024" w:rsidRPr="0066486A" w:rsidRDefault="00A34024" w:rsidP="00467D7D">
      <w:pPr>
        <w:pStyle w:val="Nagwek2"/>
      </w:pPr>
      <w:r w:rsidRPr="0066486A">
        <w:lastRenderedPageBreak/>
        <w:t xml:space="preserve">Źródła finansowania usługi </w:t>
      </w:r>
      <w:r w:rsidRPr="00467D7D">
        <w:rPr>
          <w:lang w:val="en-US"/>
        </w:rPr>
        <w:t xml:space="preserve">door-to-door </w:t>
      </w:r>
      <w:r w:rsidRPr="0066486A">
        <w:t xml:space="preserve">i/lub dostosowania architektonicznego </w:t>
      </w:r>
    </w:p>
    <w:p w14:paraId="7B4E12B8" w14:textId="2CE5DD25" w:rsidR="00BA4772" w:rsidRDefault="00BA4772" w:rsidP="007A25F6">
      <w:pPr>
        <w:pStyle w:val="Akapitzlist"/>
        <w:numPr>
          <w:ilvl w:val="0"/>
          <w:numId w:val="4"/>
        </w:numPr>
      </w:pPr>
      <w:r>
        <w:t xml:space="preserve">Dyskusja o sposobach zapewniania trwałości przez JST a także o wyzwaniach w tym zakresie. Jak PFRON i </w:t>
      </w:r>
      <w:r w:rsidR="0023691C">
        <w:t>IZ</w:t>
      </w:r>
      <w:r>
        <w:t xml:space="preserve"> mogą wspierać JST w wieloletniej trwałości przyjętych usług?</w:t>
      </w:r>
    </w:p>
    <w:p w14:paraId="4C929D06" w14:textId="7C3720F6" w:rsidR="00BA4772" w:rsidRDefault="00BA4772" w:rsidP="007A25F6">
      <w:pPr>
        <w:pStyle w:val="Akapitzlist"/>
        <w:numPr>
          <w:ilvl w:val="0"/>
          <w:numId w:val="4"/>
        </w:numPr>
      </w:pPr>
      <w:r>
        <w:t xml:space="preserve">Jakie są kluczowe mechanizmy prawno-organizacyjne, które powodują gotowość JST do wdrażania usługi </w:t>
      </w:r>
      <w:r w:rsidRPr="00467D7D">
        <w:rPr>
          <w:lang w:val="en-US"/>
        </w:rPr>
        <w:t>door-to-door</w:t>
      </w:r>
      <w:r>
        <w:t xml:space="preserve"> i/lub dostosowania architektonicznego?</w:t>
      </w:r>
    </w:p>
    <w:p w14:paraId="438A63FE" w14:textId="6FB1E1AB" w:rsidR="00BA4772" w:rsidRDefault="00BA4772" w:rsidP="00A2319D">
      <w:pPr>
        <w:ind w:firstLine="708"/>
      </w:pPr>
      <w:r w:rsidRPr="0069396C">
        <w:rPr>
          <w:b/>
          <w:bCs/>
        </w:rPr>
        <w:t>Efekt</w:t>
      </w:r>
      <w:r>
        <w:t xml:space="preserve"> = lista praktyk, które wzmacniają trwałość projektów </w:t>
      </w:r>
    </w:p>
    <w:p w14:paraId="3A002F67" w14:textId="6A8E9745" w:rsidR="00A34024" w:rsidRPr="0066486A" w:rsidRDefault="00A34024" w:rsidP="00467D7D">
      <w:pPr>
        <w:pStyle w:val="Nagwek2"/>
      </w:pPr>
      <w:r w:rsidRPr="0066486A">
        <w:t>Regulacje prawne</w:t>
      </w:r>
    </w:p>
    <w:p w14:paraId="38247AFA" w14:textId="1747E79C" w:rsidR="00BA4772" w:rsidRDefault="00BA4772" w:rsidP="00A2319D">
      <w:pPr>
        <w:pStyle w:val="Akapitzlist"/>
        <w:numPr>
          <w:ilvl w:val="0"/>
          <w:numId w:val="6"/>
        </w:numPr>
      </w:pPr>
      <w:r>
        <w:t>Czy obecna legislacja umożliwia wdrażania usług w zakresie ograniczonej mobilności? Czy wymagane są/konieczne zmiany zapisów istniejących? Kto powinien być gospodarzem procesu zmian legislacyjnych?</w:t>
      </w:r>
    </w:p>
    <w:p w14:paraId="0A2A8F34" w14:textId="3854F103" w:rsidR="00BA4772" w:rsidRDefault="00BA4772" w:rsidP="00A2319D">
      <w:pPr>
        <w:ind w:firstLine="708"/>
      </w:pPr>
      <w:r w:rsidRPr="0069396C">
        <w:rPr>
          <w:b/>
          <w:bCs/>
        </w:rPr>
        <w:t>Efekt</w:t>
      </w:r>
      <w:r>
        <w:t xml:space="preserve"> = agenda zmian legislacyjnych</w:t>
      </w:r>
    </w:p>
    <w:sectPr w:rsidR="00BA47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A863" w14:textId="77777777" w:rsidR="003A5C44" w:rsidRDefault="003A5C44" w:rsidP="00F93B13">
      <w:pPr>
        <w:spacing w:after="0" w:line="240" w:lineRule="auto"/>
      </w:pPr>
      <w:r>
        <w:separator/>
      </w:r>
    </w:p>
  </w:endnote>
  <w:endnote w:type="continuationSeparator" w:id="0">
    <w:p w14:paraId="441654F3" w14:textId="77777777" w:rsidR="003A5C44" w:rsidRDefault="003A5C44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88737"/>
      <w:docPartObj>
        <w:docPartGallery w:val="Page Numbers (Bottom of Page)"/>
        <w:docPartUnique/>
      </w:docPartObj>
    </w:sdtPr>
    <w:sdtEndPr/>
    <w:sdtContent>
      <w:p w14:paraId="5173C29A" w14:textId="36D49270" w:rsidR="00F93B13" w:rsidRDefault="00935181" w:rsidP="00094F6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170CCD1" wp14:editId="793D1D69">
              <wp:simplePos x="0" y="0"/>
              <wp:positionH relativeFrom="margin">
                <wp:posOffset>-310515</wp:posOffset>
              </wp:positionH>
              <wp:positionV relativeFrom="paragraph">
                <wp:posOffset>-297180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93B13">
          <w:fldChar w:fldCharType="begin"/>
        </w:r>
        <w:r w:rsidR="00F93B13">
          <w:instrText>PAGE   \* MERGEFORMAT</w:instrText>
        </w:r>
        <w:r w:rsidR="00F93B13">
          <w:fldChar w:fldCharType="separate"/>
        </w:r>
        <w:r w:rsidR="00F93B13">
          <w:t>2</w:t>
        </w:r>
        <w:r w:rsidR="00F93B1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9472" w14:textId="77777777" w:rsidR="003A5C44" w:rsidRDefault="003A5C44" w:rsidP="00F93B13">
      <w:pPr>
        <w:spacing w:after="0" w:line="240" w:lineRule="auto"/>
      </w:pPr>
      <w:r>
        <w:separator/>
      </w:r>
    </w:p>
  </w:footnote>
  <w:footnote w:type="continuationSeparator" w:id="0">
    <w:p w14:paraId="180F14CB" w14:textId="77777777" w:rsidR="003A5C44" w:rsidRDefault="003A5C44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9CDB" w14:textId="310F6E77" w:rsidR="00FD4C5D" w:rsidRDefault="00FD4C5D">
    <w:pPr>
      <w:pStyle w:val="Nagwek"/>
    </w:pPr>
    <w:r w:rsidRPr="009E5B46">
      <w:rPr>
        <w:noProof/>
      </w:rPr>
      <w:drawing>
        <wp:inline distT="0" distB="0" distL="0" distR="0" wp14:anchorId="380DA991" wp14:editId="7F2F0473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15"/>
    <w:multiLevelType w:val="hybridMultilevel"/>
    <w:tmpl w:val="7D86F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827"/>
    <w:multiLevelType w:val="hybridMultilevel"/>
    <w:tmpl w:val="AC02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5D4D"/>
    <w:multiLevelType w:val="hybridMultilevel"/>
    <w:tmpl w:val="7D86F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90F"/>
    <w:multiLevelType w:val="hybridMultilevel"/>
    <w:tmpl w:val="7782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3A2C"/>
    <w:multiLevelType w:val="hybridMultilevel"/>
    <w:tmpl w:val="7D8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44FDD"/>
    <w:multiLevelType w:val="hybridMultilevel"/>
    <w:tmpl w:val="7D86F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79269">
    <w:abstractNumId w:val="4"/>
  </w:num>
  <w:num w:numId="2" w16cid:durableId="883836295">
    <w:abstractNumId w:val="1"/>
  </w:num>
  <w:num w:numId="3" w16cid:durableId="158619629">
    <w:abstractNumId w:val="3"/>
  </w:num>
  <w:num w:numId="4" w16cid:durableId="938030306">
    <w:abstractNumId w:val="5"/>
  </w:num>
  <w:num w:numId="5" w16cid:durableId="500699867">
    <w:abstractNumId w:val="2"/>
  </w:num>
  <w:num w:numId="6" w16cid:durableId="103974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24"/>
    <w:rsid w:val="00081FAA"/>
    <w:rsid w:val="00094F65"/>
    <w:rsid w:val="000D2770"/>
    <w:rsid w:val="001019CA"/>
    <w:rsid w:val="00106053"/>
    <w:rsid w:val="00133D88"/>
    <w:rsid w:val="00211F4B"/>
    <w:rsid w:val="00231229"/>
    <w:rsid w:val="0023691C"/>
    <w:rsid w:val="0028414D"/>
    <w:rsid w:val="002B6365"/>
    <w:rsid w:val="00305D36"/>
    <w:rsid w:val="0031186D"/>
    <w:rsid w:val="003A5C44"/>
    <w:rsid w:val="00466118"/>
    <w:rsid w:val="00467D7D"/>
    <w:rsid w:val="0053004E"/>
    <w:rsid w:val="00593264"/>
    <w:rsid w:val="00640BDF"/>
    <w:rsid w:val="0066486A"/>
    <w:rsid w:val="0069396C"/>
    <w:rsid w:val="006C65BD"/>
    <w:rsid w:val="006F15B1"/>
    <w:rsid w:val="007A25F6"/>
    <w:rsid w:val="00935181"/>
    <w:rsid w:val="0094544D"/>
    <w:rsid w:val="00A2319D"/>
    <w:rsid w:val="00A34024"/>
    <w:rsid w:val="00A47C70"/>
    <w:rsid w:val="00B11CDE"/>
    <w:rsid w:val="00B3070F"/>
    <w:rsid w:val="00BA4772"/>
    <w:rsid w:val="00BB5F68"/>
    <w:rsid w:val="00C32E39"/>
    <w:rsid w:val="00C550B3"/>
    <w:rsid w:val="00C60A57"/>
    <w:rsid w:val="00D25BF1"/>
    <w:rsid w:val="00DB1F55"/>
    <w:rsid w:val="00DC3B28"/>
    <w:rsid w:val="00DF7388"/>
    <w:rsid w:val="00E425FF"/>
    <w:rsid w:val="00E64AB8"/>
    <w:rsid w:val="00EF22DC"/>
    <w:rsid w:val="00F66C2F"/>
    <w:rsid w:val="00F93B1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D5997"/>
  <w15:chartTrackingRefBased/>
  <w15:docId w15:val="{F905491A-5599-41AD-83CC-237E5F8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7D"/>
    <w:pPr>
      <w:spacing w:after="120" w:line="360" w:lineRule="auto"/>
    </w:pPr>
    <w:rPr>
      <w:rFonts w:ascii="Calibri" w:eastAsia="Montserrat" w:hAnsi="Calibri" w:cs="Calibri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7D7D"/>
    <w:pPr>
      <w:keepNext/>
      <w:keepLines/>
      <w:spacing w:before="36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D7D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13"/>
    <w:rPr>
      <w:rFonts w:ascii="Calibri" w:eastAsia="Montserrat" w:hAnsi="Calibri" w:cs="Calibri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13"/>
    <w:rPr>
      <w:rFonts w:ascii="Calibri" w:eastAsia="Montserrat" w:hAnsi="Calibri" w:cs="Calibri"/>
      <w:kern w:val="0"/>
      <w:sz w:val="24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67D7D"/>
    <w:rPr>
      <w:rFonts w:ascii="Calibri" w:eastAsiaTheme="majorEastAsia" w:hAnsi="Calibri" w:cstheme="majorBidi"/>
      <w:b/>
      <w:kern w:val="0"/>
      <w:sz w:val="36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67D7D"/>
    <w:rPr>
      <w:rFonts w:ascii="Calibri" w:eastAsiaTheme="majorEastAsia" w:hAnsi="Calibri" w:cstheme="majorBidi"/>
      <w:b/>
      <w:kern w:val="0"/>
      <w:sz w:val="32"/>
      <w:szCs w:val="26"/>
      <w:lang w:eastAsia="pl-PL"/>
      <w14:ligatures w14:val="none"/>
    </w:rPr>
  </w:style>
  <w:style w:type="paragraph" w:styleId="Poprawka">
    <w:name w:val="Revision"/>
    <w:hidden/>
    <w:uiPriority w:val="99"/>
    <w:semiHidden/>
    <w:rsid w:val="0053004E"/>
    <w:pPr>
      <w:spacing w:after="0" w:line="240" w:lineRule="auto"/>
    </w:pPr>
    <w:rPr>
      <w:rFonts w:ascii="Calibri" w:eastAsia="Montserrat" w:hAnsi="Calibri" w:cs="Calibri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D9924-D3A1-450D-AD7F-114881992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C4226-9C44-4D86-AD3E-490CC8E42D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cdca08-e25d-48bf-a624-7b3e2881dd1a"/>
    <ds:schemaRef ds:uri="http://schemas.microsoft.com/office/2006/documentManagement/types"/>
    <ds:schemaRef ds:uri="http://purl.org/dc/terms/"/>
    <ds:schemaRef ds:uri="05ecc84d-9a38-46bf-80e6-f6befd1417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741AA7-30CB-45B5-9374-697B3F0F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10_ Panel ekspertów</vt:lpstr>
    </vt:vector>
  </TitlesOfParts>
  <Company>Windows User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2i_Panel ekspertów</dc:title>
  <dc:subject/>
  <dc:creator>Magdalena Szostakowska</dc:creator>
  <cp:keywords/>
  <dc:description/>
  <cp:lastModifiedBy>MS</cp:lastModifiedBy>
  <cp:revision>7</cp:revision>
  <dcterms:created xsi:type="dcterms:W3CDTF">2023-08-25T09:50:00Z</dcterms:created>
  <dcterms:modified xsi:type="dcterms:W3CDTF">2023-10-30T13:01:00Z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