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6F2A" w14:textId="24772F60" w:rsidR="00AB18AD" w:rsidRPr="009400B1" w:rsidRDefault="00F23B42" w:rsidP="00733E20">
      <w:pPr>
        <w:pStyle w:val="Calibri16"/>
        <w:tabs>
          <w:tab w:val="clear" w:pos="8505"/>
          <w:tab w:val="left" w:leader="underscore" w:pos="9637"/>
        </w:tabs>
        <w:rPr>
          <w:b w:val="0"/>
          <w:bCs/>
          <w:sz w:val="24"/>
          <w:szCs w:val="16"/>
        </w:rPr>
      </w:pPr>
      <w:r>
        <w:t>Wytyczne w zakresie p</w:t>
      </w:r>
      <w:r w:rsidR="009229F0">
        <w:t>rzeprowadzan</w:t>
      </w:r>
      <w:r>
        <w:t>ia</w:t>
      </w:r>
      <w:r w:rsidR="009229F0">
        <w:t xml:space="preserve"> wizyt monitoringowych</w:t>
      </w:r>
    </w:p>
    <w:p w14:paraId="2555D720" w14:textId="77777777" w:rsidR="002543FD" w:rsidRDefault="002543FD" w:rsidP="002543FD">
      <w:pPr>
        <w:pStyle w:val="Nagwek2"/>
      </w:pPr>
      <w:r>
        <w:t>Skróty</w:t>
      </w:r>
    </w:p>
    <w:p w14:paraId="5F00D5E0" w14:textId="77777777" w:rsidR="00564C22" w:rsidRDefault="00564C22" w:rsidP="005E0D68">
      <w:pPr>
        <w:pStyle w:val="CalibriA1"/>
      </w:pPr>
      <w:r w:rsidRPr="00684BB6">
        <w:rPr>
          <w:b/>
          <w:bCs/>
        </w:rPr>
        <w:t>DWP</w:t>
      </w:r>
      <w:r w:rsidRPr="00684BB6">
        <w:t xml:space="preserve"> </w:t>
      </w:r>
      <w:r>
        <w:t>-</w:t>
      </w:r>
      <w:r w:rsidRPr="00684BB6">
        <w:t xml:space="preserve"> Departament ds. Współpracy z Organizacjami Pozarządowymi</w:t>
      </w:r>
      <w:r>
        <w:t>.</w:t>
      </w:r>
    </w:p>
    <w:p w14:paraId="3E19E7CA" w14:textId="77777777" w:rsidR="00564C22" w:rsidRPr="00684BB6" w:rsidRDefault="00564C22" w:rsidP="005E0D68">
      <w:pPr>
        <w:pStyle w:val="CalibriA1"/>
      </w:pPr>
      <w:r>
        <w:rPr>
          <w:b/>
          <w:bCs/>
        </w:rPr>
        <w:t xml:space="preserve">Opiekun </w:t>
      </w:r>
      <w:r>
        <w:t xml:space="preserve">- </w:t>
      </w:r>
      <w:r w:rsidRPr="000D4F7B">
        <w:t>Opiekun umowy.</w:t>
      </w:r>
    </w:p>
    <w:p w14:paraId="02DDFC10" w14:textId="77777777" w:rsidR="00564C22" w:rsidRDefault="00564C22" w:rsidP="005E0D68">
      <w:pPr>
        <w:pStyle w:val="CalibriA1"/>
      </w:pPr>
      <w:r>
        <w:rPr>
          <w:b/>
          <w:bCs/>
        </w:rPr>
        <w:t>PFRON</w:t>
      </w:r>
      <w:r>
        <w:t xml:space="preserve"> - Państwowy Fundusz Rehabilitacji Osób Niepełnosprawnych.</w:t>
      </w:r>
    </w:p>
    <w:p w14:paraId="1BCE20C9" w14:textId="3AA01012" w:rsidR="002543FD" w:rsidRDefault="00564C22" w:rsidP="005E0D68">
      <w:pPr>
        <w:pStyle w:val="CalibriA1"/>
      </w:pPr>
      <w:r>
        <w:rPr>
          <w:b/>
          <w:bCs/>
        </w:rPr>
        <w:t>Zespół</w:t>
      </w:r>
      <w:r w:rsidRPr="009F0E5A">
        <w:t xml:space="preserve"> </w:t>
      </w:r>
      <w:r>
        <w:t>-</w:t>
      </w:r>
      <w:r w:rsidRPr="009F0E5A">
        <w:t xml:space="preserve"> </w:t>
      </w:r>
      <w:r>
        <w:t>Zespół przeprowadzający wizytę monitoringową</w:t>
      </w:r>
      <w:r w:rsidR="002639EC">
        <w:t>.</w:t>
      </w:r>
    </w:p>
    <w:p w14:paraId="2A991B8C" w14:textId="56BA5058" w:rsidR="00AB18AD" w:rsidRDefault="00AB18AD" w:rsidP="00A66DFF">
      <w:pPr>
        <w:pStyle w:val="Nagwek2"/>
      </w:pPr>
      <w:r>
        <w:t>Definicje</w:t>
      </w:r>
    </w:p>
    <w:p w14:paraId="19B6A1C7" w14:textId="739BC81A" w:rsidR="00EF0FAA" w:rsidRDefault="00EF0FAA" w:rsidP="005E0D68">
      <w:pPr>
        <w:pStyle w:val="CalibriA1"/>
      </w:pPr>
      <w:r w:rsidRPr="00DB6B9C">
        <w:rPr>
          <w:b/>
          <w:bCs/>
        </w:rPr>
        <w:t>Jednostka organizacyjna</w:t>
      </w:r>
      <w:r>
        <w:t xml:space="preserve"> - Departament lub </w:t>
      </w:r>
      <w:r w:rsidR="0024083C">
        <w:t>B</w:t>
      </w:r>
      <w:r>
        <w:t>iuro w Biurze PFRON oraz Oddział.</w:t>
      </w:r>
    </w:p>
    <w:p w14:paraId="0E6919DA" w14:textId="77777777" w:rsidR="00EF0FAA" w:rsidRPr="003879E7" w:rsidRDefault="00EF0FAA" w:rsidP="005E0D68">
      <w:pPr>
        <w:pStyle w:val="CalibriA1"/>
      </w:pPr>
      <w:r w:rsidRPr="003879E7">
        <w:rPr>
          <w:b/>
          <w:bCs/>
        </w:rPr>
        <w:t xml:space="preserve">Opiekun </w:t>
      </w:r>
      <w:r>
        <w:rPr>
          <w:b/>
          <w:bCs/>
        </w:rPr>
        <w:t>umowy</w:t>
      </w:r>
      <w:r w:rsidRPr="003879E7">
        <w:t xml:space="preserve"> </w:t>
      </w:r>
      <w:r>
        <w:t>-</w:t>
      </w:r>
      <w:r w:rsidRPr="003879E7">
        <w:t xml:space="preserve"> </w:t>
      </w:r>
      <w:r>
        <w:t>osoba wspierająca Organizację Pozarządową w realizacji umowy.</w:t>
      </w:r>
    </w:p>
    <w:p w14:paraId="71116967" w14:textId="77777777" w:rsidR="00EF0FAA" w:rsidRPr="001023D7" w:rsidRDefault="00EF0FAA" w:rsidP="005E0D68">
      <w:pPr>
        <w:pStyle w:val="CalibriA1"/>
      </w:pPr>
      <w:r w:rsidRPr="006902DD">
        <w:rPr>
          <w:b/>
          <w:bCs/>
        </w:rPr>
        <w:t>Organizacje Pozarządowe</w:t>
      </w:r>
      <w:r w:rsidRPr="006902DD">
        <w:t xml:space="preserve"> - organizacje, o których mowa w art. 2 pkt 3 ustawy z dnia</w:t>
      </w:r>
      <w:r w:rsidRPr="001023D7">
        <w:t xml:space="preserve"> 27 sierpnia 1997 r. o rehabilitacji zawodowej i społecznej oraz zatrudnianiu osób niepełnosprawnych.</w:t>
      </w:r>
    </w:p>
    <w:p w14:paraId="2493AFFA" w14:textId="77777777" w:rsidR="00EF0FAA" w:rsidRPr="001023D7" w:rsidRDefault="00EF0FAA" w:rsidP="005E0D68">
      <w:pPr>
        <w:pStyle w:val="CalibriA1"/>
      </w:pPr>
      <w:r w:rsidRPr="001023D7">
        <w:rPr>
          <w:b/>
          <w:bCs/>
        </w:rPr>
        <w:t>Zespół przeprowadzający wizytę monitoringową</w:t>
      </w:r>
      <w:r w:rsidRPr="001023D7">
        <w:t xml:space="preserve"> - osoby przeprowadzające wizytę monitoringową.</w:t>
      </w:r>
    </w:p>
    <w:p w14:paraId="09A3B488" w14:textId="4B09B2B5" w:rsidR="00AB18AD" w:rsidRDefault="00EF0FAA" w:rsidP="005E0D68">
      <w:pPr>
        <w:pStyle w:val="CalibriA1"/>
      </w:pPr>
      <w:r w:rsidRPr="001023D7">
        <w:rPr>
          <w:b/>
          <w:bCs/>
        </w:rPr>
        <w:t>Zleceniobiorca</w:t>
      </w:r>
      <w:r w:rsidRPr="009F0E5A">
        <w:t xml:space="preserve"> </w:t>
      </w:r>
      <w:r w:rsidRPr="001023D7">
        <w:t xml:space="preserve">- </w:t>
      </w:r>
      <w:r w:rsidRPr="009454E8">
        <w:t>podmiot, który</w:t>
      </w:r>
      <w:r w:rsidRPr="001023D7">
        <w:t xml:space="preserve"> zawarł umowę o zlecenie realizacji zadań w ramach art. 36 ustawy z dnia 27 sierpnia 1997</w:t>
      </w:r>
      <w:r w:rsidRPr="004017BB">
        <w:t xml:space="preserve"> r. o rehabilitacji zawodowej i społecznej oraz zatrudnianiu osób niepełnosprawnych.</w:t>
      </w:r>
    </w:p>
    <w:p w14:paraId="4679E0C2" w14:textId="3AE7104B" w:rsidR="00AB18AD" w:rsidRDefault="00AB18AD" w:rsidP="00733E20">
      <w:pPr>
        <w:pStyle w:val="Nagwek2"/>
      </w:pPr>
      <w:r>
        <w:t>Opis postępowania</w:t>
      </w:r>
    </w:p>
    <w:p w14:paraId="05A544DB" w14:textId="77777777" w:rsidR="00B30B4C" w:rsidRPr="00B30B4C" w:rsidRDefault="00B30B4C" w:rsidP="00A12993">
      <w:pPr>
        <w:pStyle w:val="Akapit2"/>
      </w:pPr>
      <w:r w:rsidRPr="00B30B4C">
        <w:t>Zadania jednostek organizacyjnych</w:t>
      </w:r>
    </w:p>
    <w:p w14:paraId="6C45C92D" w14:textId="07083DCB" w:rsidR="00B30B4C" w:rsidRDefault="00B30B4C" w:rsidP="0024083C">
      <w:pPr>
        <w:ind w:left="567"/>
      </w:pPr>
      <w:r w:rsidRPr="00B30B4C">
        <w:t>Dyrektor DWP oraz Dyrektorzy Oddziałów, odpowiadają za</w:t>
      </w:r>
      <w:r w:rsidR="0024083C">
        <w:t xml:space="preserve"> </w:t>
      </w:r>
      <w:r w:rsidR="002C39F8">
        <w:t>z</w:t>
      </w:r>
      <w:r w:rsidRPr="00B30B4C">
        <w:t>lecanie przeprowadzenia wizyt monitoringowych</w:t>
      </w:r>
      <w:r w:rsidR="00C940A8">
        <w:t xml:space="preserve"> oraz prawidłową realizację zadania</w:t>
      </w:r>
      <w:r w:rsidR="00C80B4E">
        <w:t xml:space="preserve"> </w:t>
      </w:r>
      <w:r w:rsidR="002C39F8">
        <w:t>niezależnie.</w:t>
      </w:r>
    </w:p>
    <w:p w14:paraId="7D2B6EDB" w14:textId="77777777" w:rsidR="00B30B4C" w:rsidRPr="00B30B4C" w:rsidRDefault="00B30B4C" w:rsidP="00A12993">
      <w:pPr>
        <w:pStyle w:val="Akapit2"/>
      </w:pPr>
      <w:r w:rsidRPr="00B30B4C">
        <w:t>Ogólne zasady</w:t>
      </w:r>
    </w:p>
    <w:p w14:paraId="0648C7C4" w14:textId="77777777" w:rsidR="00B30B4C" w:rsidRPr="00B30B4C" w:rsidRDefault="00B30B4C" w:rsidP="00FD6F79">
      <w:pPr>
        <w:pStyle w:val="Akapitzlistrozwijaln2"/>
        <w:numPr>
          <w:ilvl w:val="0"/>
          <w:numId w:val="27"/>
        </w:numPr>
        <w:ind w:left="1701" w:hanging="567"/>
      </w:pPr>
      <w:r w:rsidRPr="00B30B4C">
        <w:t>Celem wizyty monitoringowej jest weryfikacja rzeczywistej realizacji projektu oraz jego faktycznych postępów.</w:t>
      </w:r>
    </w:p>
    <w:p w14:paraId="31245596" w14:textId="77777777" w:rsidR="00B30B4C" w:rsidRPr="00B30B4C" w:rsidRDefault="00B30B4C" w:rsidP="00654496">
      <w:pPr>
        <w:pStyle w:val="Akapitzlistrozwijaln2"/>
      </w:pPr>
      <w:r w:rsidRPr="00B30B4C">
        <w:t>Wizyta monitoringowa przeprowadzana jest w miejscu i w godzinach realizacji działań merytorycznych w ramach projektu (w placówce, w miejscu prowadzenia szkolenia, warsztatu, itp.).</w:t>
      </w:r>
    </w:p>
    <w:p w14:paraId="59F43BD9" w14:textId="77777777" w:rsidR="00B30B4C" w:rsidRPr="00B30B4C" w:rsidRDefault="00B30B4C" w:rsidP="00654496">
      <w:pPr>
        <w:pStyle w:val="Akapitzlistrozwijaln2"/>
      </w:pPr>
      <w:r w:rsidRPr="00B30B4C">
        <w:t>Wizyta monitoringowa nie może być utożsamiana z kontrolą realizacji projektu (kontrolą objęty jest szerszy zakres np. rozliczenia finansowe, kwalifikowalność kosztów, itd.).</w:t>
      </w:r>
    </w:p>
    <w:p w14:paraId="09A8E44E" w14:textId="77777777" w:rsidR="00B30B4C" w:rsidRPr="00B30B4C" w:rsidRDefault="00B30B4C" w:rsidP="00654496">
      <w:pPr>
        <w:pStyle w:val="Akapitzlistrozwijaln2"/>
      </w:pPr>
      <w:r w:rsidRPr="00B30B4C">
        <w:t>Wizyta monitoringowa służy ochronie środków publicznych.</w:t>
      </w:r>
    </w:p>
    <w:p w14:paraId="2F4B2A1A" w14:textId="77777777" w:rsidR="00B30B4C" w:rsidRPr="00B30B4C" w:rsidRDefault="00B30B4C" w:rsidP="00654496">
      <w:pPr>
        <w:pStyle w:val="Akapitzlistrozwijaln2"/>
      </w:pPr>
      <w:r w:rsidRPr="00B30B4C">
        <w:t>Podczas przeprowadzania wizyty monitoringowej ważne jest przypomnienie Zleceniobiorcy o konieczności stosowania zasady konkurencyjności z uwzględnieniem postanowień rozdziału VIII „Wytycznych w zakresie kwalifikowalności kosztów w ramach art. 36 ustawy o rehabilitacji zawodowej i społecznej oraz zatrudnianiu osób niepełnosprawnych”.</w:t>
      </w:r>
    </w:p>
    <w:p w14:paraId="719AEFE6" w14:textId="77777777" w:rsidR="00B30B4C" w:rsidRPr="00B30B4C" w:rsidRDefault="00B30B4C" w:rsidP="00D502D3">
      <w:pPr>
        <w:pStyle w:val="Akapitzlistrozwijaln2"/>
      </w:pPr>
      <w:r w:rsidRPr="00B30B4C">
        <w:lastRenderedPageBreak/>
        <w:t>Wizyta monitoringowa przeprowadzana jest bez zapowiedzi i nie powinna trwać dłużej niż 1 dzień.</w:t>
      </w:r>
    </w:p>
    <w:p w14:paraId="3DCE609F" w14:textId="77777777" w:rsidR="00B30B4C" w:rsidRPr="00B30B4C" w:rsidRDefault="00B30B4C" w:rsidP="00A12993">
      <w:pPr>
        <w:pStyle w:val="Akapit2"/>
      </w:pPr>
      <w:r w:rsidRPr="00B30B4C">
        <w:t>Zakres wizyty monitoringowej</w:t>
      </w:r>
    </w:p>
    <w:p w14:paraId="315D7F71" w14:textId="77777777" w:rsidR="00B30B4C" w:rsidRPr="00B30B4C" w:rsidRDefault="00B30B4C" w:rsidP="002D53BF">
      <w:pPr>
        <w:pStyle w:val="Akapitzlistrozwijaln2"/>
        <w:numPr>
          <w:ilvl w:val="0"/>
          <w:numId w:val="28"/>
        </w:numPr>
        <w:ind w:left="1701" w:hanging="567"/>
      </w:pPr>
      <w:r w:rsidRPr="00B30B4C">
        <w:t>Zakres obejmuje w szczególności sprawdzenie czy:</w:t>
      </w:r>
    </w:p>
    <w:p w14:paraId="6AEED70F" w14:textId="77777777" w:rsidR="00B30B4C" w:rsidRPr="00B30B4C" w:rsidRDefault="00B30B4C" w:rsidP="00F122DB">
      <w:pPr>
        <w:pStyle w:val="Akapitzlist3"/>
      </w:pPr>
      <w:r w:rsidRPr="00B30B4C">
        <w:t>udzielane wsparcie jest zgodne z wnioskiem o zlecenie realizacji zadań stanowiącym załącznik do umowy; w tym: czy zakres tematyczny danej formy wsparcia odpowiada opisowi zawartemu we wniosku, czy zajęcia prowadzone są w sposób zaplanowany we wniosku (czas zajęć, liczba beneficjentów ostatecznych uczestniczących w zajęciach, liczba osób prowadzących zajęcia);</w:t>
      </w:r>
    </w:p>
    <w:p w14:paraId="67BD3F73" w14:textId="77777777" w:rsidR="00B30B4C" w:rsidRPr="00B30B4C" w:rsidRDefault="00B30B4C" w:rsidP="00F122DB">
      <w:pPr>
        <w:pStyle w:val="Akapitzlist3"/>
      </w:pPr>
      <w:r w:rsidRPr="00B30B4C">
        <w:t>udzielane wsparcie jest (prowadzone działania są) zgodne z harmonogramem realizacji projektu przedstawionym we wniosku o zlecenie realizacji zadań oraz zgodne z harmonogramem, o którym mowa w paragrafie 8 Umowy;</w:t>
      </w:r>
    </w:p>
    <w:p w14:paraId="62381949" w14:textId="77777777" w:rsidR="00B30B4C" w:rsidRPr="00B30B4C" w:rsidRDefault="00B30B4C" w:rsidP="00F122DB">
      <w:pPr>
        <w:pStyle w:val="Akapitzlist3"/>
      </w:pPr>
      <w:r w:rsidRPr="00B30B4C">
        <w:t>liczba osób podpisanych na liście obecności jest zgodna z liczbą osób obecnych na zajęciach oraz ewentualnie z innymi dokumentami kwalifikującymi beneficjentów ostatecznych projektu/uczestników projektu do udziału w danej formie wsparcia;</w:t>
      </w:r>
    </w:p>
    <w:p w14:paraId="1D2EDEB0" w14:textId="77777777" w:rsidR="00B30B4C" w:rsidRPr="00B30B4C" w:rsidRDefault="00B30B4C" w:rsidP="00F122DB">
      <w:pPr>
        <w:pStyle w:val="Akapitzlist3"/>
      </w:pPr>
      <w:r w:rsidRPr="00B30B4C">
        <w:t>prowadzona jest dokumentacja związana z realizacją projektu, w tym między innymi czy Zleceniobiorca:</w:t>
      </w:r>
    </w:p>
    <w:p w14:paraId="2A21BF42" w14:textId="123EF5F4" w:rsidR="00B30B4C" w:rsidRPr="00B30B4C" w:rsidRDefault="00B30B4C" w:rsidP="00A12993">
      <w:pPr>
        <w:pStyle w:val="Akapitzlist"/>
        <w:ind w:left="2835" w:hanging="567"/>
      </w:pPr>
      <w:r w:rsidRPr="00B30B4C">
        <w:t>posiada kserokopie orzeczeń potwierdzających niepełnosprawność beneficjentów ostatecznych projektu (poświadczone za zgodność z</w:t>
      </w:r>
      <w:r w:rsidR="00E112ED">
        <w:t> </w:t>
      </w:r>
      <w:r w:rsidRPr="00B30B4C">
        <w:t>oryginałem);</w:t>
      </w:r>
    </w:p>
    <w:p w14:paraId="6BB31F17" w14:textId="77777777" w:rsidR="00B30B4C" w:rsidRPr="00B30B4C" w:rsidRDefault="00B30B4C" w:rsidP="00A12993">
      <w:pPr>
        <w:pStyle w:val="Akapitzlist"/>
        <w:ind w:left="2835" w:hanging="567"/>
      </w:pPr>
      <w:r w:rsidRPr="00B30B4C">
        <w:t>realizuje obowiązek uzyskania (nie rzadziej niż raz w miesiącu) od każdego beneficjenta ostatecznego projektu/uczestnika projektu poświadczeń o korzystaniu ze wsparcia w ramach projektu (podpis na liście obecności dotyczącej formy wsparcia z której korzysta beneficjent/uczestnik; w przypadku osób nie posiadających zdolności do czynności prawnych lista musi zostać podpisana przez przedstawiciela ustawowego tej osoby);</w:t>
      </w:r>
    </w:p>
    <w:p w14:paraId="51BCA692" w14:textId="77777777" w:rsidR="00B30B4C" w:rsidRPr="00B30B4C" w:rsidRDefault="00B30B4C" w:rsidP="00A12993">
      <w:pPr>
        <w:pStyle w:val="Akapitzlist"/>
        <w:ind w:left="2835" w:hanging="567"/>
      </w:pPr>
      <w:r w:rsidRPr="00B30B4C">
        <w:t>realizuje obowiązek utworzenia Indywidualnych Planów Działania (IPD) dla beneficjentów ostatecznych projektu;</w:t>
      </w:r>
    </w:p>
    <w:p w14:paraId="4D4F1A90" w14:textId="77777777" w:rsidR="00B30B4C" w:rsidRPr="00B30B4C" w:rsidRDefault="00B30B4C" w:rsidP="00A12993">
      <w:pPr>
        <w:pStyle w:val="Akapitzlist"/>
        <w:ind w:left="2835" w:hanging="567"/>
      </w:pPr>
      <w:r w:rsidRPr="00B30B4C">
        <w:t>realizuje obowiązek prowadzenia przez personel projektu ewidencji godzin wsparcia oraz zadań wykonanych w ramach projektu – dotyczy osób zatrudnionych w projekcie.</w:t>
      </w:r>
    </w:p>
    <w:p w14:paraId="6EBAD2E3" w14:textId="77777777" w:rsidR="00B30B4C" w:rsidRPr="00B30B4C" w:rsidRDefault="00B30B4C" w:rsidP="00C30035">
      <w:pPr>
        <w:ind w:left="2268"/>
      </w:pPr>
      <w:r w:rsidRPr="00B30B4C">
        <w:t>Powyższe ma zastosowanie, o ile w przypadku danego typu projektu Zleceniobiorca zobowiązany jest do gromadzenia dokumentacji oraz jeżeli dokumenty przechowywane są przez Zleceniobiorcę w miejscu realizacji wizyty monitoringowej.</w:t>
      </w:r>
    </w:p>
    <w:p w14:paraId="103940BC" w14:textId="726E9E8D" w:rsidR="00B30B4C" w:rsidRDefault="00B30B4C" w:rsidP="00C30035">
      <w:pPr>
        <w:ind w:left="2268"/>
      </w:pPr>
      <w:r w:rsidRPr="00B30B4C">
        <w:t>W innym przypadku dokumenty nie podlegają sprawdzeniu.</w:t>
      </w:r>
    </w:p>
    <w:p w14:paraId="18C56A21" w14:textId="688544D5" w:rsidR="00BB0CC8" w:rsidRDefault="00BB0CC8">
      <w:pPr>
        <w:spacing w:after="160" w:line="259" w:lineRule="auto"/>
      </w:pPr>
      <w:r>
        <w:br w:type="page"/>
      </w:r>
    </w:p>
    <w:p w14:paraId="7F751FEB" w14:textId="77777777" w:rsidR="00B30B4C" w:rsidRPr="00B30B4C" w:rsidRDefault="00B30B4C" w:rsidP="00F122DB">
      <w:pPr>
        <w:pStyle w:val="Akapitzlist3"/>
      </w:pPr>
      <w:r w:rsidRPr="00B30B4C">
        <w:lastRenderedPageBreak/>
        <w:t>spełniane są przez Zleceniobiorcę obowiązki informacyjne, w tym między innymi:</w:t>
      </w:r>
    </w:p>
    <w:p w14:paraId="4B568058" w14:textId="77777777" w:rsidR="00B30B4C" w:rsidRPr="00B30B4C" w:rsidRDefault="00B30B4C" w:rsidP="00A12993">
      <w:pPr>
        <w:pStyle w:val="Akapitzlist"/>
        <w:ind w:left="2835" w:hanging="567"/>
      </w:pPr>
      <w:r w:rsidRPr="00B30B4C">
        <w:t>obowiązek informowania o współfinansowaniu projektu ze środków PFRON (zamieszczanie informacji na ten temat we wszystkich materiałach, publikacjach, informacjach dla mediów, ogłoszeniach oraz wystąpieniach publicznych dotyczących realizowanego projektu);</w:t>
      </w:r>
    </w:p>
    <w:p w14:paraId="5086811E" w14:textId="77777777" w:rsidR="00B30B4C" w:rsidRPr="00B30B4C" w:rsidRDefault="00B30B4C" w:rsidP="00A12993">
      <w:pPr>
        <w:pStyle w:val="Akapitzlist"/>
        <w:ind w:left="2835" w:hanging="567"/>
      </w:pPr>
      <w:r w:rsidRPr="00B30B4C">
        <w:t>obowiązek eksponowania logo PFRON (umieszczania logo na zaproszeniach, materiałach promocyjnych, informacyjnych, szkoleniowych i innych materiałach służących realizacji projektu);</w:t>
      </w:r>
    </w:p>
    <w:p w14:paraId="53142ADF" w14:textId="77777777" w:rsidR="00B30B4C" w:rsidRPr="00B30B4C" w:rsidRDefault="00B30B4C" w:rsidP="00A12993">
      <w:pPr>
        <w:pStyle w:val="Akapitzlist"/>
        <w:ind w:left="2835" w:hanging="567"/>
      </w:pPr>
      <w:r w:rsidRPr="00B30B4C">
        <w:t>obowiązek informacyjny wynikający z art. 35a ustawy z dnia 27 sierpnia 2009 r. o finansach publicznych oraz z przepisów wykonawczych wydanych do tej ustawy;</w:t>
      </w:r>
    </w:p>
    <w:p w14:paraId="47BD9816" w14:textId="77777777" w:rsidR="00B30B4C" w:rsidRPr="00B30B4C" w:rsidRDefault="00B30B4C" w:rsidP="00F122DB">
      <w:pPr>
        <w:pStyle w:val="Akapitzlist3"/>
      </w:pPr>
      <w:r w:rsidRPr="00B30B4C">
        <w:t>sprzęt zakupiony w ramach projektu jest wykorzystywany zgodnie z przeznaczeniem – o ile dotyczy.</w:t>
      </w:r>
    </w:p>
    <w:p w14:paraId="4F804D1F" w14:textId="284705D6" w:rsidR="00B30B4C" w:rsidRPr="00B30B4C" w:rsidRDefault="00B30B4C" w:rsidP="00E112ED">
      <w:pPr>
        <w:pStyle w:val="Akapitzlistrozwijaln2"/>
      </w:pPr>
      <w:r w:rsidRPr="00B30B4C">
        <w:t>Weryfikacji podczas wizyty monitoringowej mogą podlegać wszystkie przechowywane przez Zleceniobiorcę w miejscu realizacji działań merytorycznych dokumenty (</w:t>
      </w:r>
      <w:r w:rsidR="00E60808" w:rsidRPr="00E60808">
        <w:t>o których mowa w pkt 1 lit. d</w:t>
      </w:r>
      <w:r w:rsidRPr="00B30B4C">
        <w:t>) albo część z tych dokumentów.</w:t>
      </w:r>
    </w:p>
    <w:p w14:paraId="081B82E5" w14:textId="64807CA5" w:rsidR="00B30B4C" w:rsidRPr="00B30B4C" w:rsidRDefault="00B30B4C" w:rsidP="00E112ED">
      <w:pPr>
        <w:pStyle w:val="Akapitzlistrozwijaln2"/>
      </w:pPr>
      <w:r w:rsidRPr="00B30B4C">
        <w:t>Podczas wizyty monitoringowej zespół może przeprowadzać wywiady/ankiety z</w:t>
      </w:r>
      <w:r w:rsidR="00DB0405">
        <w:t> </w:t>
      </w:r>
      <w:r w:rsidRPr="00B30B4C">
        <w:t xml:space="preserve">beneficjentami ostatecznymi projektu/uczestnikami projektu (Wzór nr </w:t>
      </w:r>
      <w:r w:rsidR="00264077">
        <w:t>3</w:t>
      </w:r>
      <w:r w:rsidRPr="00B30B4C">
        <w:t xml:space="preserve"> „Ramowy wzór ankiety przeprowadzanej podczas wizyty monitoringowej”) w</w:t>
      </w:r>
      <w:r w:rsidR="00DB0405">
        <w:t> </w:t>
      </w:r>
      <w:r w:rsidRPr="00B30B4C">
        <w:t>celu poznania ich opinii na temat jakości realizowanej formy wsparcia.</w:t>
      </w:r>
    </w:p>
    <w:p w14:paraId="22793C7F" w14:textId="77777777" w:rsidR="00B30B4C" w:rsidRPr="00B30B4C" w:rsidRDefault="00B30B4C" w:rsidP="00E112ED">
      <w:pPr>
        <w:pStyle w:val="Akapitzlistrozwijaln2"/>
      </w:pPr>
      <w:r w:rsidRPr="00B30B4C">
        <w:t>Przeprowadzenie ankiety z beneficjentami ostatecznymi projektu/uczestnikami projektu nie jest obligatoryjne.</w:t>
      </w:r>
    </w:p>
    <w:p w14:paraId="20129B8C" w14:textId="2E83E9B4" w:rsidR="00B30B4C" w:rsidRPr="00B30B4C" w:rsidRDefault="00B30B4C" w:rsidP="00E112ED">
      <w:pPr>
        <w:pStyle w:val="Akapitzlistrozwijaln2"/>
      </w:pPr>
      <w:r w:rsidRPr="00B30B4C">
        <w:t xml:space="preserve">Podczas wizyty monitoringowej </w:t>
      </w:r>
      <w:bookmarkStart w:id="0" w:name="_Hlk115425163"/>
      <w:r w:rsidRPr="00B30B4C">
        <w:t xml:space="preserve">zespół </w:t>
      </w:r>
      <w:bookmarkEnd w:id="0"/>
      <w:r w:rsidRPr="00B30B4C">
        <w:t>przypomina Zleceniobiorcy, że do każdego projektu PFRON wyznacza pracownika pełniącego rolę opiekuna oraz zachęca do kontaktu w sytuacjach tego wymagających.</w:t>
      </w:r>
    </w:p>
    <w:p w14:paraId="04E6014F" w14:textId="75EE6442" w:rsidR="00B30B4C" w:rsidRPr="00B30B4C" w:rsidRDefault="00B30B4C" w:rsidP="00E112ED">
      <w:pPr>
        <w:pStyle w:val="Akapitzlistrozwijaln2"/>
      </w:pPr>
      <w:bookmarkStart w:id="1" w:name="_Hlk114752154"/>
      <w:r w:rsidRPr="00B30B4C">
        <w:t>Podczas wizyty monitoringowej zespół może</w:t>
      </w:r>
      <w:r w:rsidRPr="00B30B4C">
        <w:rPr>
          <w:b/>
          <w:bCs/>
        </w:rPr>
        <w:t xml:space="preserve"> </w:t>
      </w:r>
      <w:r w:rsidRPr="00B30B4C">
        <w:t>udzielać pomocy w wyjaśnieniu niejasności oraz w rozwiązaniu problemów związanych z</w:t>
      </w:r>
      <w:r w:rsidR="00DB0405">
        <w:t> </w:t>
      </w:r>
      <w:r w:rsidRPr="00B30B4C">
        <w:t>procesem realizacji i rozliczania umowy</w:t>
      </w:r>
      <w:bookmarkEnd w:id="1"/>
      <w:r w:rsidRPr="00B30B4C">
        <w:t>.</w:t>
      </w:r>
    </w:p>
    <w:p w14:paraId="06CCF710" w14:textId="554999B2" w:rsidR="00B30B4C" w:rsidRPr="00B30B4C" w:rsidRDefault="00B30B4C" w:rsidP="00E112ED">
      <w:pPr>
        <w:pStyle w:val="Akapitzlistrozwijaln2"/>
      </w:pPr>
      <w:r w:rsidRPr="00B30B4C">
        <w:t>Po zakończonych czynnościach monitoringowych zespół może – na wniosek Zleceniobiorcy – udzielać dodatkowych wyjaśnień na temat realizowanej umowy (o ile posiada odpowiednią wiedzę i informacje w zakresie pytań Zleceniobiorcy).</w:t>
      </w:r>
    </w:p>
    <w:p w14:paraId="002EDF9B" w14:textId="77777777" w:rsidR="00B30B4C" w:rsidRPr="00B30B4C" w:rsidRDefault="00B30B4C" w:rsidP="00A12993">
      <w:pPr>
        <w:pStyle w:val="Akapit2"/>
      </w:pPr>
      <w:r w:rsidRPr="00B30B4C">
        <w:t>Zespół przeprowadzający wizytę monitoringową</w:t>
      </w:r>
    </w:p>
    <w:p w14:paraId="2144F907" w14:textId="77777777" w:rsidR="00B30B4C" w:rsidRPr="00B30B4C" w:rsidRDefault="00B30B4C" w:rsidP="00DB0405">
      <w:pPr>
        <w:pStyle w:val="Akapitzlistrozwijaln2"/>
        <w:numPr>
          <w:ilvl w:val="0"/>
          <w:numId w:val="30"/>
        </w:numPr>
        <w:ind w:left="1701" w:hanging="567"/>
      </w:pPr>
      <w:r w:rsidRPr="00B30B4C">
        <w:t>Wizyta monitoringowa powinna zostać przeprowadzona przez zespół składający się z co najmniej dwóch osób.</w:t>
      </w:r>
    </w:p>
    <w:p w14:paraId="6E125277" w14:textId="77777777" w:rsidR="00B30B4C" w:rsidRPr="00B30B4C" w:rsidRDefault="00B30B4C" w:rsidP="00DB0405">
      <w:pPr>
        <w:pStyle w:val="Akapitzlistrozwijaln2"/>
      </w:pPr>
      <w:r w:rsidRPr="00B30B4C">
        <w:t>W skład zespołu może wchodzić dodatkowo pracownik posiadający wiedzę z zakresu zapewnienia dostępności dla osób ze szczególnymi potrzebami.</w:t>
      </w:r>
    </w:p>
    <w:p w14:paraId="4FF28E0C" w14:textId="77777777" w:rsidR="00B30B4C" w:rsidRPr="00B30B4C" w:rsidRDefault="00B30B4C" w:rsidP="00DB0405">
      <w:pPr>
        <w:pStyle w:val="Akapitzlistrozwijaln2"/>
      </w:pPr>
      <w:r w:rsidRPr="00B30B4C">
        <w:t>Wizyta przeprowadzana jest na podstawie Polecenia do przeprowadzenia wizyty monitoringowej.</w:t>
      </w:r>
    </w:p>
    <w:p w14:paraId="0013CB9F" w14:textId="77777777" w:rsidR="00B30B4C" w:rsidRPr="00B30B4C" w:rsidRDefault="00B30B4C" w:rsidP="00A12993">
      <w:pPr>
        <w:pStyle w:val="Akapit2"/>
      </w:pPr>
      <w:r w:rsidRPr="00B30B4C">
        <w:lastRenderedPageBreak/>
        <w:t>Zakres czynności po wizycie monitoringowej</w:t>
      </w:r>
    </w:p>
    <w:p w14:paraId="127743EB" w14:textId="09B1FE5B" w:rsidR="00B30B4C" w:rsidRPr="00B30B4C" w:rsidRDefault="00B30B4C" w:rsidP="0047113D">
      <w:pPr>
        <w:pStyle w:val="Akapitzlistrozwijaln2"/>
        <w:numPr>
          <w:ilvl w:val="0"/>
          <w:numId w:val="31"/>
        </w:numPr>
        <w:ind w:left="1701" w:hanging="567"/>
      </w:pPr>
      <w:r w:rsidRPr="00B30B4C">
        <w:t>Z przeprowadzonej wizyty monitoringowej należy sporządzić Informację (Wzór</w:t>
      </w:r>
      <w:r w:rsidR="0047113D">
        <w:t> </w:t>
      </w:r>
      <w:r w:rsidRPr="00B30B4C">
        <w:t>nr </w:t>
      </w:r>
      <w:r w:rsidR="00264077">
        <w:t>1</w:t>
      </w:r>
      <w:r w:rsidRPr="00B30B4C">
        <w:t xml:space="preserve"> „Informacja z wizyty monitoringowej”) oraz Listę (Wzór nr </w:t>
      </w:r>
      <w:r w:rsidR="00264077">
        <w:t>2</w:t>
      </w:r>
      <w:r w:rsidRPr="00B30B4C">
        <w:t xml:space="preserve"> „Lista</w:t>
      </w:r>
      <w:r w:rsidR="0047113D">
        <w:t> </w:t>
      </w:r>
      <w:r w:rsidRPr="00B30B4C">
        <w:t>sprawdzająca”) – dokumenty sporządzane są w dwóch jednobrzmiących egzemplarzach: jeden dla PFRON, drugi dla Zleceniobiorcy.</w:t>
      </w:r>
    </w:p>
    <w:p w14:paraId="047547D9" w14:textId="77777777" w:rsidR="00B30B4C" w:rsidRPr="00B30B4C" w:rsidRDefault="00B30B4C" w:rsidP="0047113D">
      <w:pPr>
        <w:pStyle w:val="Akapitzlistrozwijaln2"/>
      </w:pPr>
      <w:r w:rsidRPr="00B30B4C">
        <w:t xml:space="preserve">Informacja z wizyty monitoringowej (wraz z Listą sprawdzającą) przekazywana jest do Zleceniobiorcy w terminie </w:t>
      </w:r>
      <w:bookmarkStart w:id="2" w:name="_Hlk113015496"/>
      <w:r w:rsidRPr="00B30B4C">
        <w:t>14 dni roboczych od dnia zakończenia wizyty</w:t>
      </w:r>
      <w:bookmarkEnd w:id="2"/>
      <w:r w:rsidRPr="00B30B4C">
        <w:t>.</w:t>
      </w:r>
    </w:p>
    <w:p w14:paraId="2251F6D1" w14:textId="77777777" w:rsidR="00B30B4C" w:rsidRPr="00B30B4C" w:rsidRDefault="00B30B4C" w:rsidP="0047113D">
      <w:pPr>
        <w:pStyle w:val="Akapitzlistrozwijaln2"/>
      </w:pPr>
      <w:r w:rsidRPr="00B30B4C">
        <w:t>Zleceniobiorcy przysługuje prawo zgłoszenia, przed podpisaniem Informacji i Listy sprawdzającej, zastrzeżeń odnośnie ustaleń zawartych w Informacji (i/lub w Liście sprawdzającej).</w:t>
      </w:r>
    </w:p>
    <w:p w14:paraId="3D766CF0" w14:textId="77777777" w:rsidR="00B30B4C" w:rsidRPr="00B30B4C" w:rsidRDefault="00B30B4C" w:rsidP="0047113D">
      <w:pPr>
        <w:pStyle w:val="Akapitzlistrozwijaln2"/>
      </w:pPr>
      <w:r w:rsidRPr="00B30B4C">
        <w:t>Zastrzeżenia muszą zostać zgłoszone na piśmie w terminie 10 dni roboczych od dnia otrzymania z PFRON Informacji (wraz z Listą sprawdzającą).</w:t>
      </w:r>
    </w:p>
    <w:p w14:paraId="033DFF9E" w14:textId="77777777" w:rsidR="00B30B4C" w:rsidRPr="00B30B4C" w:rsidRDefault="00B30B4C" w:rsidP="0047113D">
      <w:pPr>
        <w:pStyle w:val="Akapitzlistrozwijaln2"/>
      </w:pPr>
      <w:r w:rsidRPr="00B30B4C">
        <w:t>W przypadku niedotrzymania ww. terminu PFRON ma prawo odmówić rozpatrzenia zgłoszonych zastrzeżeń.</w:t>
      </w:r>
    </w:p>
    <w:p w14:paraId="7C840E5C" w14:textId="77777777" w:rsidR="00B30B4C" w:rsidRPr="00B30B4C" w:rsidRDefault="00B30B4C" w:rsidP="0047113D">
      <w:pPr>
        <w:pStyle w:val="Akapitzlistrozwijaln2"/>
      </w:pPr>
      <w:r w:rsidRPr="00B30B4C">
        <w:t>Zgłaszane przez Zleceniobiorcę zastrzeżenia nie mogą odnosić się do ustaleń z badania ankietowego przeprowadzonego wśród beneficjentów ostatecznych projektu/uczestników projektu, zawartych w treści Informacji.</w:t>
      </w:r>
    </w:p>
    <w:p w14:paraId="7127E7F1" w14:textId="77777777" w:rsidR="00B30B4C" w:rsidRPr="00B30B4C" w:rsidRDefault="00B30B4C" w:rsidP="0047113D">
      <w:pPr>
        <w:pStyle w:val="Akapitzlistrozwijaln2"/>
      </w:pPr>
      <w:r w:rsidRPr="00B30B4C">
        <w:t>W przypadku braku zastrzeżeń do Informacji oraz Listy sprawdzającej – podpisane przez Zleceniobiorcę dokumenty przekazywane są do PFRON w terminie 10 dni roboczych od dnia otrzymania tych dokumentów.</w:t>
      </w:r>
    </w:p>
    <w:p w14:paraId="22F9F786" w14:textId="77777777" w:rsidR="00B30B4C" w:rsidRPr="00B30B4C" w:rsidRDefault="00B30B4C" w:rsidP="0047113D">
      <w:pPr>
        <w:pStyle w:val="Akapitzlistrozwijaln2"/>
      </w:pPr>
      <w:r w:rsidRPr="00B30B4C">
        <w:t>Podpisanie przez Zleceniobiorcę Informacji oraz Listy sprawdzającej jest jednoznaczne z zaakceptowaniem przez Zleceniobiorcę treści ww. dokumentów.</w:t>
      </w:r>
    </w:p>
    <w:p w14:paraId="6A99839A" w14:textId="77777777" w:rsidR="00B30B4C" w:rsidRPr="00B30B4C" w:rsidRDefault="00B30B4C" w:rsidP="0047113D">
      <w:pPr>
        <w:pStyle w:val="Akapitzlistrozwijaln2"/>
      </w:pPr>
      <w:r w:rsidRPr="00B30B4C">
        <w:t>W sytuacji zgłoszenia zastrzeżeń przez Zleceniobiorcę, PFRON może:</w:t>
      </w:r>
    </w:p>
    <w:p w14:paraId="1E5AA66E" w14:textId="77777777" w:rsidR="00B30B4C" w:rsidRPr="00B30B4C" w:rsidRDefault="00B30B4C" w:rsidP="00A6774D">
      <w:pPr>
        <w:pStyle w:val="Akapitzlist3"/>
        <w:numPr>
          <w:ilvl w:val="0"/>
          <w:numId w:val="32"/>
        </w:numPr>
        <w:ind w:left="2268" w:hanging="567"/>
      </w:pPr>
      <w:r w:rsidRPr="00B30B4C">
        <w:t>stwierdzić zasadność zastrzeżeń w całości lub w części – w takiej sytuacji w terminie 10 dni roboczych od dnia otrzymania zastrzeżeń treść Informacji (i/lub Listy sprawdzającej) musi zostać zmieniona i przekazana do Zleceniobiorcy w celu podpisania, albo,</w:t>
      </w:r>
    </w:p>
    <w:p w14:paraId="16AF8AA0" w14:textId="664CACE9" w:rsidR="00B30B4C" w:rsidRDefault="00B30B4C" w:rsidP="00F122DB">
      <w:pPr>
        <w:pStyle w:val="Akapitzlist3"/>
      </w:pPr>
      <w:r w:rsidRPr="00B30B4C">
        <w:t>stwierdzić brak zasadności zastrzeżeń i przekazać wraz z uzasadnieniem (w terminie 10 dni roboczych od dnia otrzymania zastrzeżeń) ponownie Informację oraz Listę sprawdzająca w celu podpisania przez Zleceniobiorcę.</w:t>
      </w:r>
    </w:p>
    <w:p w14:paraId="26924C53" w14:textId="5586D249" w:rsidR="00F122DB" w:rsidRDefault="00F122DB">
      <w:pPr>
        <w:spacing w:after="160" w:line="259" w:lineRule="auto"/>
        <w:rPr>
          <w:szCs w:val="24"/>
        </w:rPr>
      </w:pPr>
      <w:r>
        <w:br w:type="page"/>
      </w:r>
    </w:p>
    <w:p w14:paraId="6765EC99" w14:textId="77777777" w:rsidR="00B30B4C" w:rsidRPr="00B30B4C" w:rsidRDefault="00B30B4C" w:rsidP="00CD27E0">
      <w:pPr>
        <w:pStyle w:val="Akapitzlistrozwijaln2"/>
      </w:pPr>
      <w:r w:rsidRPr="00B30B4C">
        <w:lastRenderedPageBreak/>
        <w:t>Po otrzymaniu po raz kolejny Informacji oraz Listy sprawdzającej Zleceniobiorca (w terminie 5 dni roboczych od dnia otrzymania ww. dokumentów z PFRON):</w:t>
      </w:r>
    </w:p>
    <w:p w14:paraId="4C328691" w14:textId="77777777" w:rsidR="00B30B4C" w:rsidRPr="00B30B4C" w:rsidRDefault="00B30B4C" w:rsidP="00BB0CC8">
      <w:pPr>
        <w:pStyle w:val="Akapitzlist3"/>
        <w:numPr>
          <w:ilvl w:val="0"/>
          <w:numId w:val="33"/>
        </w:numPr>
        <w:ind w:left="2268" w:hanging="567"/>
      </w:pPr>
      <w:r w:rsidRPr="00B30B4C">
        <w:t>przesyła podpisaną Informację oraz podpisaną Listę sprawdzającą do PFRON, albo,</w:t>
      </w:r>
    </w:p>
    <w:p w14:paraId="49615279" w14:textId="77777777" w:rsidR="00B30B4C" w:rsidRPr="00B30B4C" w:rsidRDefault="00B30B4C" w:rsidP="00F122DB">
      <w:pPr>
        <w:pStyle w:val="Akapitzlist3"/>
      </w:pPr>
      <w:r w:rsidRPr="00B30B4C">
        <w:t>przesyła do PFRON pisemne uzasadnienie odmowy podpisania Informacji oraz Listy sprawdzającej (wraz z niepodpisaną Informacją i Listą sprawdzającą).</w:t>
      </w:r>
    </w:p>
    <w:p w14:paraId="35A5D814" w14:textId="77777777" w:rsidR="00B30B4C" w:rsidRPr="00B30B4C" w:rsidRDefault="00B30B4C" w:rsidP="00CD27E0">
      <w:pPr>
        <w:pStyle w:val="Akapitzlistrozwijaln2"/>
      </w:pPr>
      <w:r w:rsidRPr="00B30B4C">
        <w:t>Odmowa podpisania przez Zleceniobiorcę Informacji oraz Listy sprawdzającej musi zostać odnotowana w Informacji wraz z uzasadnieniem przedstawionym przez Zleceniobiorcę.</w:t>
      </w:r>
    </w:p>
    <w:p w14:paraId="365F553A" w14:textId="77777777" w:rsidR="00B30B4C" w:rsidRPr="00B30B4C" w:rsidRDefault="00B30B4C" w:rsidP="00CD27E0">
      <w:pPr>
        <w:pStyle w:val="Akapitzlistrozwijaln2"/>
      </w:pPr>
      <w:r w:rsidRPr="00B30B4C">
        <w:t>Odmowa podpisania przez Zleceniobiorcę Informacji z wizyty monitoringowej oraz Listy sprawdzającej nie wstrzymuje sporządzenia zaleceń przez PFRON.</w:t>
      </w:r>
    </w:p>
    <w:p w14:paraId="0255635F" w14:textId="77777777" w:rsidR="00B30B4C" w:rsidRPr="00B30B4C" w:rsidRDefault="00B30B4C" w:rsidP="00A12993">
      <w:pPr>
        <w:pStyle w:val="Akapit2"/>
      </w:pPr>
      <w:r w:rsidRPr="00B30B4C">
        <w:t>Zalecenia z wizyty monitoringowej</w:t>
      </w:r>
    </w:p>
    <w:p w14:paraId="20D1EA10" w14:textId="77777777" w:rsidR="00B30B4C" w:rsidRPr="00B30B4C" w:rsidRDefault="00B30B4C" w:rsidP="00CD27E0">
      <w:pPr>
        <w:pStyle w:val="Akapitzlistrozwijaln2"/>
        <w:numPr>
          <w:ilvl w:val="0"/>
          <w:numId w:val="34"/>
        </w:numPr>
        <w:ind w:left="1701" w:hanging="567"/>
      </w:pPr>
      <w:r w:rsidRPr="00B30B4C">
        <w:t>W przypadku stwierdzenia uchybień podczas wizyty monitoringowej, PFRON musi wydać zalecenia dotyczące ich usunięcia. Zalecenia powinny zawierać uwagi i wnioski.</w:t>
      </w:r>
    </w:p>
    <w:p w14:paraId="300D2449" w14:textId="77777777" w:rsidR="00B30B4C" w:rsidRPr="00B30B4C" w:rsidRDefault="00B30B4C" w:rsidP="00CD27E0">
      <w:pPr>
        <w:pStyle w:val="Akapitzlistrozwijaln2"/>
      </w:pPr>
      <w:r w:rsidRPr="00B30B4C">
        <w:t>Wydanie zaleceń ma również na celu zapobieganie wystąpieniu kolejnych uchybień w przyszłości oraz usprawnienie realizacji projektu.</w:t>
      </w:r>
    </w:p>
    <w:p w14:paraId="0335BF0B" w14:textId="77777777" w:rsidR="00B30B4C" w:rsidRPr="00B30B4C" w:rsidRDefault="00B30B4C" w:rsidP="00CD27E0">
      <w:pPr>
        <w:pStyle w:val="Akapitzlistrozwijaln2"/>
      </w:pPr>
      <w:r w:rsidRPr="00B30B4C">
        <w:t>Zalecenia muszą być adekwatne do uchybień zidentyfikowanych podczas wizyty monitoringowej.</w:t>
      </w:r>
    </w:p>
    <w:p w14:paraId="3FEEB727" w14:textId="77777777" w:rsidR="00B30B4C" w:rsidRPr="00B30B4C" w:rsidRDefault="00B30B4C" w:rsidP="00CD27E0">
      <w:pPr>
        <w:pStyle w:val="Akapitzlistrozwijaln2"/>
      </w:pPr>
      <w:r w:rsidRPr="00B30B4C">
        <w:t>Zalecenia opracowuje i podpisuje zespół przeprowadzający wizytę monitoringową.</w:t>
      </w:r>
    </w:p>
    <w:p w14:paraId="43F528D0" w14:textId="77777777" w:rsidR="00B30B4C" w:rsidRPr="00B30B4C" w:rsidRDefault="00B30B4C" w:rsidP="00CD27E0">
      <w:pPr>
        <w:pStyle w:val="Akapitzlistrozwijaln2"/>
      </w:pPr>
      <w:r w:rsidRPr="00B30B4C">
        <w:t>Zatwierdzenie zaleceń następuje przez kierującego właściwą jednostką organizacyjną.</w:t>
      </w:r>
    </w:p>
    <w:p w14:paraId="2F2B95A5" w14:textId="77777777" w:rsidR="00B30B4C" w:rsidRPr="00B30B4C" w:rsidRDefault="00B30B4C" w:rsidP="00CD27E0">
      <w:pPr>
        <w:pStyle w:val="Akapitzlistrozwijaln2"/>
      </w:pPr>
      <w:r w:rsidRPr="00B30B4C">
        <w:t>Weryfikacja wdrożenia przez Zleceniobiorcę wydanych zaleceń musi zostać przeprowadzona poprzez:</w:t>
      </w:r>
    </w:p>
    <w:p w14:paraId="3618ABDD" w14:textId="77777777" w:rsidR="00B30B4C" w:rsidRPr="00B30B4C" w:rsidRDefault="00B30B4C" w:rsidP="00BB0CC8">
      <w:pPr>
        <w:pStyle w:val="Akapitzlist3"/>
        <w:numPr>
          <w:ilvl w:val="0"/>
          <w:numId w:val="35"/>
        </w:numPr>
        <w:ind w:left="2268" w:hanging="567"/>
      </w:pPr>
      <w:r w:rsidRPr="00B30B4C">
        <w:t>weryfikację odpowiednich dokumentów, i/albo</w:t>
      </w:r>
    </w:p>
    <w:p w14:paraId="6B861DB7" w14:textId="77777777" w:rsidR="00B30B4C" w:rsidRPr="00B30B4C" w:rsidRDefault="00B30B4C" w:rsidP="00F122DB">
      <w:pPr>
        <w:pStyle w:val="Akapitzlist3"/>
      </w:pPr>
      <w:r w:rsidRPr="00B30B4C">
        <w:t>ponowną wizytę monitoringową (sprawdzenie na miejscu).</w:t>
      </w:r>
    </w:p>
    <w:p w14:paraId="132EECEB" w14:textId="77777777" w:rsidR="00B30B4C" w:rsidRPr="00B30B4C" w:rsidRDefault="00B30B4C" w:rsidP="00CD27E0">
      <w:pPr>
        <w:pStyle w:val="Akapitzlistrozwijaln2"/>
      </w:pPr>
      <w:r w:rsidRPr="00B30B4C">
        <w:t>Decyzję w sprawie trybu weryfikacji wdrożenia zaleceń podejmuje odpowiednio: Dyrektor DWP lub Dyrektorzy Oddziałów, biorąc pod uwagę charakter wydanych zaleceń.</w:t>
      </w:r>
    </w:p>
    <w:p w14:paraId="7AE361E8" w14:textId="54DBDAAC" w:rsidR="00AB18AD" w:rsidRDefault="00AB18AD" w:rsidP="00733E20">
      <w:pPr>
        <w:pStyle w:val="Nagwek2"/>
      </w:pPr>
      <w:r>
        <w:t>Załączniki</w:t>
      </w:r>
    </w:p>
    <w:p w14:paraId="0E917B13" w14:textId="67C709A3" w:rsidR="00E82D8D" w:rsidRPr="00B415CB" w:rsidRDefault="00E82D8D" w:rsidP="005E0D68">
      <w:pPr>
        <w:pStyle w:val="CalibriA2"/>
        <w:rPr>
          <w:b/>
          <w:bCs/>
        </w:rPr>
      </w:pPr>
      <w:r w:rsidRPr="00B415CB">
        <w:t xml:space="preserve">Wzór nr </w:t>
      </w:r>
      <w:r w:rsidR="00360EDE">
        <w:t>1</w:t>
      </w:r>
      <w:r w:rsidRPr="00B415CB">
        <w:t xml:space="preserve"> – Informacja z wizyty monitoringowej</w:t>
      </w:r>
    </w:p>
    <w:p w14:paraId="7E2B3707" w14:textId="2889B329" w:rsidR="00E82D8D" w:rsidRPr="00B415CB" w:rsidRDefault="00E82D8D" w:rsidP="005E0D68">
      <w:pPr>
        <w:pStyle w:val="CalibriA2"/>
      </w:pPr>
      <w:r w:rsidRPr="00B415CB">
        <w:t xml:space="preserve">Wzór nr </w:t>
      </w:r>
      <w:r w:rsidR="00360EDE">
        <w:t>2</w:t>
      </w:r>
      <w:r w:rsidRPr="00B415CB">
        <w:t xml:space="preserve"> – Lista sprawdzająca</w:t>
      </w:r>
    </w:p>
    <w:p w14:paraId="02467058" w14:textId="4802E8C7" w:rsidR="00AE3A47" w:rsidRDefault="00E82D8D" w:rsidP="005E0D68">
      <w:pPr>
        <w:pStyle w:val="CalibriA2"/>
      </w:pPr>
      <w:r w:rsidRPr="00B415CB">
        <w:t xml:space="preserve">Wzór nr </w:t>
      </w:r>
      <w:r w:rsidR="00360EDE">
        <w:t>3</w:t>
      </w:r>
      <w:r w:rsidRPr="00B415CB">
        <w:t xml:space="preserve"> – Ram</w:t>
      </w:r>
      <w:r w:rsidRPr="000D5DE3">
        <w:t>owy wzór ankiety przeprowadzanej podczas wizyty monitoringowej</w:t>
      </w:r>
    </w:p>
    <w:p w14:paraId="4CFEC9C3" w14:textId="32A8F45C" w:rsidR="001D78D4" w:rsidRPr="00E82D8D" w:rsidRDefault="001D78D4" w:rsidP="00A52DBF">
      <w:pPr>
        <w:pStyle w:val="CalibriA9"/>
        <w:ind w:left="6237"/>
        <w:rPr>
          <w:b/>
          <w:bCs/>
        </w:rPr>
      </w:pPr>
    </w:p>
    <w:sectPr w:rsidR="001D78D4" w:rsidRPr="00E82D8D" w:rsidSect="00A66DFF">
      <w:headerReference w:type="default" r:id="rId7"/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349D" w14:textId="77777777" w:rsidR="00872832" w:rsidRDefault="00872832" w:rsidP="00A66DFF">
      <w:pPr>
        <w:spacing w:line="240" w:lineRule="auto"/>
      </w:pPr>
      <w:r>
        <w:separator/>
      </w:r>
    </w:p>
  </w:endnote>
  <w:endnote w:type="continuationSeparator" w:id="0">
    <w:p w14:paraId="1BCC82E0" w14:textId="77777777" w:rsidR="00872832" w:rsidRDefault="00872832" w:rsidP="00A66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33E7" w14:textId="77777777" w:rsidR="00872832" w:rsidRDefault="00872832" w:rsidP="00A66DFF">
      <w:pPr>
        <w:spacing w:line="240" w:lineRule="auto"/>
      </w:pPr>
      <w:r>
        <w:separator/>
      </w:r>
    </w:p>
  </w:footnote>
  <w:footnote w:type="continuationSeparator" w:id="0">
    <w:p w14:paraId="5F215EF8" w14:textId="77777777" w:rsidR="00872832" w:rsidRDefault="00872832" w:rsidP="00A66D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70AD" w14:textId="32742C65" w:rsidR="00A66DFF" w:rsidRDefault="00A66D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D7F54F" wp14:editId="5E6CC29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2848" cy="1045770"/>
          <wp:effectExtent l="0" t="0" r="635" b="2540"/>
          <wp:wrapNone/>
          <wp:docPr id="12" name="Obraz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F8A"/>
    <w:multiLevelType w:val="hybridMultilevel"/>
    <w:tmpl w:val="977CE7F4"/>
    <w:lvl w:ilvl="0" w:tplc="1ED058FA">
      <w:start w:val="1"/>
      <w:numFmt w:val="upperRoman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F7"/>
    <w:multiLevelType w:val="hybridMultilevel"/>
    <w:tmpl w:val="EBAA7B64"/>
    <w:lvl w:ilvl="0" w:tplc="4DCAD634">
      <w:start w:val="1"/>
      <w:numFmt w:val="decimal"/>
      <w:pStyle w:val="Akapit2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3E38A5"/>
    <w:multiLevelType w:val="hybridMultilevel"/>
    <w:tmpl w:val="8F927A50"/>
    <w:lvl w:ilvl="0" w:tplc="F5DCB444">
      <w:start w:val="1"/>
      <w:numFmt w:val="decimal"/>
      <w:pStyle w:val="Nagwek3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8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7F75"/>
    <w:multiLevelType w:val="hybridMultilevel"/>
    <w:tmpl w:val="1C4AA350"/>
    <w:lvl w:ilvl="0" w:tplc="3376928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3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AAC"/>
    <w:multiLevelType w:val="hybridMultilevel"/>
    <w:tmpl w:val="F9BC58A8"/>
    <w:lvl w:ilvl="0" w:tplc="A84E5A98">
      <w:start w:val="1"/>
      <w:numFmt w:val="lowerLetter"/>
      <w:pStyle w:val="Akapitzlist3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8840DE5"/>
    <w:multiLevelType w:val="hybridMultilevel"/>
    <w:tmpl w:val="8804673A"/>
    <w:lvl w:ilvl="0" w:tplc="77E63E40">
      <w:start w:val="1"/>
      <w:numFmt w:val="bullet"/>
      <w:pStyle w:val="Akapitzlist"/>
      <w:lvlText w:val=""/>
      <w:lvlJc w:val="left"/>
      <w:pPr>
        <w:ind w:left="278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B90E0F"/>
    <w:multiLevelType w:val="hybridMultilevel"/>
    <w:tmpl w:val="FC26043A"/>
    <w:lvl w:ilvl="0" w:tplc="696A75B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0F5F3F"/>
    <w:multiLevelType w:val="hybridMultilevel"/>
    <w:tmpl w:val="8B9A1580"/>
    <w:lvl w:ilvl="0" w:tplc="A2088A42">
      <w:start w:val="1"/>
      <w:numFmt w:val="decimal"/>
      <w:pStyle w:val="Akapitzlistrozwijaln2"/>
      <w:lvlText w:val="%1)"/>
      <w:lvlJc w:val="left"/>
      <w:pPr>
        <w:ind w:left="1494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573B"/>
    <w:multiLevelType w:val="hybridMultilevel"/>
    <w:tmpl w:val="8D3C9C86"/>
    <w:lvl w:ilvl="0" w:tplc="FF6ED85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3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64387"/>
    <w:multiLevelType w:val="hybridMultilevel"/>
    <w:tmpl w:val="940884EA"/>
    <w:lvl w:ilvl="0" w:tplc="7B222E5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3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B0146"/>
    <w:multiLevelType w:val="hybridMultilevel"/>
    <w:tmpl w:val="3850C7B0"/>
    <w:lvl w:ilvl="0" w:tplc="4E8CE5FA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C55B00"/>
    <w:multiLevelType w:val="hybridMultilevel"/>
    <w:tmpl w:val="8BE0750A"/>
    <w:lvl w:ilvl="0" w:tplc="C914ACAC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3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F48B7"/>
    <w:multiLevelType w:val="hybridMultilevel"/>
    <w:tmpl w:val="94FE8116"/>
    <w:lvl w:ilvl="0" w:tplc="3EDAB11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3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C6D1A"/>
    <w:multiLevelType w:val="hybridMultilevel"/>
    <w:tmpl w:val="76249F68"/>
    <w:lvl w:ilvl="0" w:tplc="DA22C9B6">
      <w:start w:val="1"/>
      <w:numFmt w:val="upperRoman"/>
      <w:pStyle w:val="Nagwek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32"/>
        <w:vertAlign w:val="baseline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7"/>
    <w:lvlOverride w:ilvl="0">
      <w:startOverride w:val="1"/>
    </w:lvlOverride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4"/>
  </w:num>
  <w:num w:numId="20">
    <w:abstractNumId w:val="7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5"/>
  </w:num>
  <w:num w:numId="30">
    <w:abstractNumId w:val="7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AD"/>
    <w:rsid w:val="001D78D4"/>
    <w:rsid w:val="001F6E55"/>
    <w:rsid w:val="00202B5F"/>
    <w:rsid w:val="00225227"/>
    <w:rsid w:val="0024083C"/>
    <w:rsid w:val="002543FD"/>
    <w:rsid w:val="002639EC"/>
    <w:rsid w:val="00264077"/>
    <w:rsid w:val="00277F52"/>
    <w:rsid w:val="002C39F8"/>
    <w:rsid w:val="002D53BF"/>
    <w:rsid w:val="002E53AB"/>
    <w:rsid w:val="00310DFB"/>
    <w:rsid w:val="00355E6D"/>
    <w:rsid w:val="00360EDE"/>
    <w:rsid w:val="003906C8"/>
    <w:rsid w:val="00440A9D"/>
    <w:rsid w:val="0047113D"/>
    <w:rsid w:val="00483EA1"/>
    <w:rsid w:val="004D5AD0"/>
    <w:rsid w:val="00523439"/>
    <w:rsid w:val="00560BEF"/>
    <w:rsid w:val="00564C22"/>
    <w:rsid w:val="00565549"/>
    <w:rsid w:val="00577EE5"/>
    <w:rsid w:val="00587EC7"/>
    <w:rsid w:val="005E0D68"/>
    <w:rsid w:val="005E22E2"/>
    <w:rsid w:val="00625D3D"/>
    <w:rsid w:val="00636130"/>
    <w:rsid w:val="00654496"/>
    <w:rsid w:val="00712933"/>
    <w:rsid w:val="00732FC4"/>
    <w:rsid w:val="00733E20"/>
    <w:rsid w:val="00771F7D"/>
    <w:rsid w:val="007B24E3"/>
    <w:rsid w:val="00816136"/>
    <w:rsid w:val="00872832"/>
    <w:rsid w:val="00893A61"/>
    <w:rsid w:val="008D7A82"/>
    <w:rsid w:val="009045A7"/>
    <w:rsid w:val="009229F0"/>
    <w:rsid w:val="00924160"/>
    <w:rsid w:val="009400B1"/>
    <w:rsid w:val="00943B90"/>
    <w:rsid w:val="009B23B3"/>
    <w:rsid w:val="009B50A9"/>
    <w:rsid w:val="009E617D"/>
    <w:rsid w:val="009F088D"/>
    <w:rsid w:val="00A033A8"/>
    <w:rsid w:val="00A071C1"/>
    <w:rsid w:val="00A12993"/>
    <w:rsid w:val="00A52DBF"/>
    <w:rsid w:val="00A66DFF"/>
    <w:rsid w:val="00A6774D"/>
    <w:rsid w:val="00AB18AD"/>
    <w:rsid w:val="00AC4180"/>
    <w:rsid w:val="00AE3A47"/>
    <w:rsid w:val="00B2265D"/>
    <w:rsid w:val="00B30B4C"/>
    <w:rsid w:val="00B66CC4"/>
    <w:rsid w:val="00BB0CC8"/>
    <w:rsid w:val="00C30035"/>
    <w:rsid w:val="00C73E7D"/>
    <w:rsid w:val="00C80B4E"/>
    <w:rsid w:val="00C940A8"/>
    <w:rsid w:val="00CD27E0"/>
    <w:rsid w:val="00CF02EF"/>
    <w:rsid w:val="00D36504"/>
    <w:rsid w:val="00D502D3"/>
    <w:rsid w:val="00DB0405"/>
    <w:rsid w:val="00E112ED"/>
    <w:rsid w:val="00E11BDF"/>
    <w:rsid w:val="00E178B9"/>
    <w:rsid w:val="00E5674A"/>
    <w:rsid w:val="00E60808"/>
    <w:rsid w:val="00E64E8B"/>
    <w:rsid w:val="00E82D8D"/>
    <w:rsid w:val="00E83C27"/>
    <w:rsid w:val="00EB29F7"/>
    <w:rsid w:val="00ED2CED"/>
    <w:rsid w:val="00EF0FAA"/>
    <w:rsid w:val="00F122DB"/>
    <w:rsid w:val="00F23B42"/>
    <w:rsid w:val="00F47C4A"/>
    <w:rsid w:val="00F81E3C"/>
    <w:rsid w:val="00FA594C"/>
    <w:rsid w:val="00FD42C4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D3332"/>
  <w15:chartTrackingRefBased/>
  <w15:docId w15:val="{DC039F3F-8BD2-4038-B23D-EB417BA0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kapit podpis"/>
    <w:rsid w:val="00A033A8"/>
    <w:pPr>
      <w:spacing w:after="0"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78B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33A8"/>
    <w:pPr>
      <w:keepNext/>
      <w:keepLines/>
      <w:numPr>
        <w:numId w:val="7"/>
      </w:numPr>
      <w:spacing w:before="240" w:after="120"/>
      <w:ind w:left="567" w:hanging="567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033A8"/>
    <w:pPr>
      <w:keepNext/>
      <w:keepLines/>
      <w:numPr>
        <w:numId w:val="8"/>
      </w:numPr>
      <w:spacing w:before="120" w:after="120"/>
      <w:ind w:left="1134" w:hanging="567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6">
    <w:name w:val="Calibri 16"/>
    <w:basedOn w:val="Normalny"/>
    <w:link w:val="Calibri16Znak"/>
    <w:autoRedefine/>
    <w:qFormat/>
    <w:rsid w:val="00816136"/>
    <w:pPr>
      <w:tabs>
        <w:tab w:val="left" w:leader="underscore" w:pos="8505"/>
      </w:tabs>
      <w:spacing w:after="360"/>
      <w:jc w:val="center"/>
    </w:pPr>
    <w:rPr>
      <w:b/>
      <w:sz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E178B9"/>
    <w:rPr>
      <w:rFonts w:ascii="Calibri" w:eastAsiaTheme="majorEastAsia" w:hAnsi="Calibri" w:cstheme="majorBidi"/>
      <w:b/>
      <w:sz w:val="36"/>
      <w:szCs w:val="32"/>
    </w:rPr>
  </w:style>
  <w:style w:type="character" w:customStyle="1" w:styleId="Calibri16Znak">
    <w:name w:val="Calibri 16 Znak"/>
    <w:basedOn w:val="Domylnaczcionkaakapitu"/>
    <w:link w:val="Calibri16"/>
    <w:rsid w:val="00816136"/>
    <w:rPr>
      <w:rFonts w:ascii="Calibri" w:hAnsi="Calibri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033A8"/>
    <w:rPr>
      <w:rFonts w:ascii="Calibri" w:eastAsiaTheme="majorEastAsia" w:hAnsi="Calibri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033A8"/>
    <w:rPr>
      <w:rFonts w:ascii="Calibri" w:eastAsiaTheme="majorEastAsia" w:hAnsi="Calibri" w:cstheme="majorBidi"/>
      <w:b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6D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DFF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A66D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DFF"/>
    <w:rPr>
      <w:rFonts w:ascii="Calibri" w:hAnsi="Calibri"/>
      <w:sz w:val="24"/>
    </w:rPr>
  </w:style>
  <w:style w:type="paragraph" w:customStyle="1" w:styleId="CalibriA1">
    <w:name w:val="Calibri A1"/>
    <w:basedOn w:val="Normalny"/>
    <w:link w:val="CalibriA1Znak"/>
    <w:qFormat/>
    <w:rsid w:val="00A66DFF"/>
    <w:pPr>
      <w:ind w:left="567"/>
    </w:pPr>
  </w:style>
  <w:style w:type="paragraph" w:customStyle="1" w:styleId="CalibriA9">
    <w:name w:val="Calibri A9"/>
    <w:basedOn w:val="Normalny"/>
    <w:link w:val="CalibriA9Znak"/>
    <w:autoRedefine/>
    <w:qFormat/>
    <w:rsid w:val="00636130"/>
    <w:pPr>
      <w:tabs>
        <w:tab w:val="left" w:leader="underscore" w:pos="9637"/>
      </w:tabs>
      <w:ind w:left="5103"/>
      <w:jc w:val="center"/>
    </w:pPr>
  </w:style>
  <w:style w:type="character" w:customStyle="1" w:styleId="CalibriA1Znak">
    <w:name w:val="Calibri A1 Znak"/>
    <w:basedOn w:val="Domylnaczcionkaakapitu"/>
    <w:link w:val="CalibriA1"/>
    <w:rsid w:val="00A66DFF"/>
    <w:rPr>
      <w:rFonts w:ascii="Calibri" w:hAnsi="Calibri"/>
      <w:sz w:val="24"/>
    </w:rPr>
  </w:style>
  <w:style w:type="paragraph" w:customStyle="1" w:styleId="CalibriA2">
    <w:name w:val="Calibri A2"/>
    <w:basedOn w:val="CalibriA1"/>
    <w:link w:val="CalibriA2Znak"/>
    <w:autoRedefine/>
    <w:qFormat/>
    <w:rsid w:val="00733E20"/>
    <w:pPr>
      <w:ind w:left="1134"/>
    </w:pPr>
  </w:style>
  <w:style w:type="character" w:customStyle="1" w:styleId="CalibriA9Znak">
    <w:name w:val="Calibri A9 Znak"/>
    <w:basedOn w:val="Domylnaczcionkaakapitu"/>
    <w:link w:val="CalibriA9"/>
    <w:rsid w:val="00636130"/>
    <w:rPr>
      <w:rFonts w:ascii="Calibri" w:hAnsi="Calibri"/>
      <w:sz w:val="24"/>
    </w:rPr>
  </w:style>
  <w:style w:type="paragraph" w:styleId="Akapitzlist">
    <w:name w:val="List Paragraph"/>
    <w:aliases w:val="Akapit 1 z listą,Akapit z listą 1"/>
    <w:basedOn w:val="Normalny"/>
    <w:link w:val="AkapitzlistZnak"/>
    <w:autoRedefine/>
    <w:uiPriority w:val="34"/>
    <w:qFormat/>
    <w:rsid w:val="00A12993"/>
    <w:pPr>
      <w:numPr>
        <w:numId w:val="29"/>
      </w:numPr>
      <w:contextualSpacing/>
    </w:pPr>
  </w:style>
  <w:style w:type="character" w:customStyle="1" w:styleId="CalibriA2Znak">
    <w:name w:val="Calibri A2 Znak"/>
    <w:basedOn w:val="CalibriA1Znak"/>
    <w:link w:val="CalibriA2"/>
    <w:rsid w:val="00733E20"/>
    <w:rPr>
      <w:rFonts w:ascii="Calibri" w:hAnsi="Calibri"/>
      <w:sz w:val="24"/>
    </w:rPr>
  </w:style>
  <w:style w:type="paragraph" w:customStyle="1" w:styleId="Akapit2">
    <w:name w:val="Akapit 2"/>
    <w:basedOn w:val="Akapitzlist"/>
    <w:link w:val="Akapit2Znak"/>
    <w:autoRedefine/>
    <w:qFormat/>
    <w:rsid w:val="00BB0CC8"/>
    <w:pPr>
      <w:numPr>
        <w:numId w:val="13"/>
      </w:numPr>
      <w:spacing w:before="120"/>
      <w:ind w:left="1134" w:hanging="567"/>
      <w:contextualSpacing w:val="0"/>
    </w:pPr>
    <w:rPr>
      <w:b/>
    </w:rPr>
  </w:style>
  <w:style w:type="paragraph" w:customStyle="1" w:styleId="Calibri12A2">
    <w:name w:val="Calibri 12 A2"/>
    <w:basedOn w:val="Normalny"/>
    <w:link w:val="Calibri12A2Znak"/>
    <w:autoRedefine/>
    <w:rsid w:val="00AE3A47"/>
    <w:pPr>
      <w:spacing w:before="120"/>
      <w:ind w:left="1134"/>
    </w:pPr>
  </w:style>
  <w:style w:type="character" w:customStyle="1" w:styleId="AkapitzlistZnak">
    <w:name w:val="Akapit z listą Znak"/>
    <w:aliases w:val="Akapit 1 z listą Znak,Akapit z listą 1 Znak"/>
    <w:basedOn w:val="Domylnaczcionkaakapitu"/>
    <w:link w:val="Akapitzlist"/>
    <w:uiPriority w:val="34"/>
    <w:rsid w:val="00A12993"/>
    <w:rPr>
      <w:rFonts w:ascii="Calibri" w:hAnsi="Calibri"/>
      <w:sz w:val="24"/>
    </w:rPr>
  </w:style>
  <w:style w:type="character" w:customStyle="1" w:styleId="Akapit2Znak">
    <w:name w:val="Akapit 2 Znak"/>
    <w:basedOn w:val="AkapitzlistZnak"/>
    <w:link w:val="Akapit2"/>
    <w:rsid w:val="00BB0CC8"/>
    <w:rPr>
      <w:rFonts w:ascii="Calibri" w:hAnsi="Calibri"/>
      <w:b/>
      <w:sz w:val="24"/>
    </w:rPr>
  </w:style>
  <w:style w:type="character" w:customStyle="1" w:styleId="Calibri12A2Znak">
    <w:name w:val="Calibri 12 A2 Znak"/>
    <w:basedOn w:val="Domylnaczcionkaakapitu"/>
    <w:link w:val="Calibri12A2"/>
    <w:rsid w:val="00AE3A47"/>
    <w:rPr>
      <w:rFonts w:ascii="Calibri" w:hAnsi="Calibri"/>
      <w:sz w:val="24"/>
    </w:rPr>
  </w:style>
  <w:style w:type="paragraph" w:customStyle="1" w:styleId="Akapitzlistrozwijaln2">
    <w:name w:val="Akapit z listą rozwijalną 2"/>
    <w:basedOn w:val="Normalny"/>
    <w:autoRedefine/>
    <w:qFormat/>
    <w:rsid w:val="00636130"/>
    <w:pPr>
      <w:numPr>
        <w:numId w:val="14"/>
      </w:numPr>
      <w:ind w:left="1701" w:hanging="567"/>
    </w:pPr>
  </w:style>
  <w:style w:type="paragraph" w:customStyle="1" w:styleId="Calibri12A1">
    <w:name w:val="Calibri 12 A1"/>
    <w:basedOn w:val="Normalny"/>
    <w:link w:val="Calibri12A1Znak"/>
    <w:autoRedefine/>
    <w:rsid w:val="00EF0FAA"/>
    <w:pPr>
      <w:ind w:left="567"/>
    </w:pPr>
  </w:style>
  <w:style w:type="character" w:customStyle="1" w:styleId="Calibri12A1Znak">
    <w:name w:val="Calibri 12 A1 Znak"/>
    <w:basedOn w:val="Domylnaczcionkaakapitu"/>
    <w:link w:val="Calibri12A1"/>
    <w:rsid w:val="00EF0FAA"/>
    <w:rPr>
      <w:rFonts w:ascii="Calibri" w:hAnsi="Calibri"/>
      <w:sz w:val="24"/>
    </w:rPr>
  </w:style>
  <w:style w:type="paragraph" w:customStyle="1" w:styleId="Akapitzlist3">
    <w:name w:val="Akapit z listą 3"/>
    <w:basedOn w:val="Akapitzlistrozwijaln2"/>
    <w:autoRedefine/>
    <w:qFormat/>
    <w:rsid w:val="00F122DB"/>
    <w:pPr>
      <w:numPr>
        <w:numId w:val="19"/>
      </w:numPr>
      <w:ind w:left="2268" w:hanging="56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1477</Words>
  <Characters>8864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do procesu nr 2.5.8 wydanie nr 1</vt:lpstr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do procesu nr 2.5.8 wydanie nr 1</dc:title>
  <dc:subject/>
  <dc:creator>egraczyk@pfron.org.pl;Magdalena.Gacparska@pfron.org.pl</dc:creator>
  <cp:keywords/>
  <dc:description/>
  <cp:lastModifiedBy>Graczyk-Goławska Ewa</cp:lastModifiedBy>
  <cp:revision>2</cp:revision>
  <dcterms:created xsi:type="dcterms:W3CDTF">2023-05-10T11:11:00Z</dcterms:created>
  <dcterms:modified xsi:type="dcterms:W3CDTF">2023-05-10T11:11:00Z</dcterms:modified>
</cp:coreProperties>
</file>