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23CF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594889AD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D684A5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082D56">
        <w:rPr>
          <w:rFonts w:ascii="Times New Roman" w:hAnsi="Times New Roman"/>
          <w:b/>
          <w:bCs/>
          <w:sz w:val="28"/>
          <w:szCs w:val="28"/>
        </w:rPr>
        <w:t>Państwowy Fundusz Rehabilitacji Osób Niepełnosprawnych</w:t>
      </w:r>
    </w:p>
    <w:p w14:paraId="16AB7CC5" w14:textId="77777777" w:rsidR="00082D56" w:rsidRPr="00082D56" w:rsidRDefault="00082D56" w:rsidP="00082D56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14:paraId="4BDE4857" w14:textId="77777777" w:rsidR="00082D56" w:rsidRPr="00082D56" w:rsidRDefault="00082D56" w:rsidP="00082D56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14:paraId="298A02FB" w14:textId="77777777" w:rsidR="00082D56" w:rsidRPr="00082D56" w:rsidRDefault="00082D56" w:rsidP="00082D56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14:paraId="2EA114B3" w14:textId="2375D99C" w:rsidR="00082D56" w:rsidRPr="00082D56" w:rsidRDefault="00082D56" w:rsidP="00082D5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D56">
        <w:rPr>
          <w:rFonts w:ascii="Times New Roman" w:hAnsi="Times New Roman"/>
          <w:b/>
          <w:bCs/>
          <w:color w:val="auto"/>
          <w:sz w:val="28"/>
          <w:szCs w:val="28"/>
        </w:rPr>
        <w:t xml:space="preserve">Szczegółowe zasady finansowania badań </w:t>
      </w:r>
      <w:r w:rsidRPr="00082D56">
        <w:rPr>
          <w:rFonts w:ascii="Times New Roman" w:hAnsi="Times New Roman"/>
          <w:b/>
          <w:bCs/>
          <w:color w:val="auto"/>
          <w:sz w:val="28"/>
          <w:szCs w:val="28"/>
        </w:rPr>
        <w:br/>
        <w:t>w konkursie „Reprezentacje niepełnosprawności w kulturze i edukacji”</w:t>
      </w:r>
    </w:p>
    <w:p w14:paraId="74A3F5BC" w14:textId="77777777" w:rsidR="00082D56" w:rsidRPr="00082D56" w:rsidRDefault="00082D56" w:rsidP="00082D5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171DEA" w14:textId="77777777" w:rsidR="00082D56" w:rsidRPr="00082D56" w:rsidRDefault="00082D56" w:rsidP="00082D5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E37425" w14:textId="77777777" w:rsidR="00082D56" w:rsidRPr="00082D56" w:rsidRDefault="00082D56" w:rsidP="00082D5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EB9CFC" w14:textId="77777777" w:rsidR="00082D56" w:rsidRPr="00082D56" w:rsidRDefault="00082D56" w:rsidP="00082D5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D56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886D632" wp14:editId="47D4133B">
            <wp:extent cx="5460032" cy="1314982"/>
            <wp:effectExtent l="19050" t="0" r="7318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5EF7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320777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D56">
        <w:rPr>
          <w:rFonts w:ascii="Times New Roman" w:hAnsi="Times New Roman"/>
          <w:b/>
          <w:bCs/>
          <w:sz w:val="28"/>
          <w:szCs w:val="28"/>
        </w:rPr>
        <w:t>Moduł B</w:t>
      </w:r>
    </w:p>
    <w:p w14:paraId="725542FC" w14:textId="77777777" w:rsidR="00082D56" w:rsidRPr="00082D56" w:rsidRDefault="00082D56" w:rsidP="00082D5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F7A6D2" w14:textId="77777777" w:rsidR="00082D56" w:rsidRPr="00082D56" w:rsidRDefault="00082D56" w:rsidP="00082D56">
      <w:pPr>
        <w:autoSpaceDE w:val="0"/>
        <w:autoSpaceDN w:val="0"/>
        <w:adjustRightInd w:val="0"/>
        <w:spacing w:after="0" w:line="288" w:lineRule="auto"/>
        <w:ind w:left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8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Dofinansowanie realizacji projektów dotyczących </w:t>
      </w:r>
      <w:r w:rsidRPr="0008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badań podstawowych </w:t>
      </w:r>
    </w:p>
    <w:p w14:paraId="76C7A811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795F3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907C32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F959BE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F47DC0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8923A5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2922D7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</w:rPr>
      </w:pPr>
    </w:p>
    <w:p w14:paraId="242A9143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</w:rPr>
      </w:pPr>
    </w:p>
    <w:p w14:paraId="10137443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</w:rPr>
      </w:pPr>
    </w:p>
    <w:p w14:paraId="39F2B4C9" w14:textId="555FD54D" w:rsidR="004C1345" w:rsidRPr="00493D38" w:rsidRDefault="00082D56" w:rsidP="00082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56">
        <w:rPr>
          <w:rFonts w:ascii="Times New Roman" w:hAnsi="Times New Roman" w:cs="Times New Roman"/>
          <w:b/>
          <w:bCs/>
          <w:sz w:val="24"/>
          <w:szCs w:val="24"/>
        </w:rPr>
        <w:t>Warszawa 2019</w:t>
      </w:r>
      <w:r w:rsidRPr="00C15AE0">
        <w:rPr>
          <w:rFonts w:cstheme="minorHAnsi"/>
          <w:b/>
          <w:sz w:val="28"/>
          <w:szCs w:val="30"/>
        </w:rPr>
        <w:br w:type="page"/>
      </w:r>
      <w:r w:rsidR="00817393" w:rsidRPr="00493D38">
        <w:rPr>
          <w:rFonts w:ascii="Times New Roman" w:hAnsi="Times New Roman" w:cs="Times New Roman"/>
          <w:b/>
          <w:sz w:val="24"/>
          <w:szCs w:val="24"/>
        </w:rPr>
        <w:lastRenderedPageBreak/>
        <w:t>Szczegółowe zasady finansowania badań w konkursie „Reprezentacje niepełnosprawności w kulturze i edukacji”</w:t>
      </w:r>
    </w:p>
    <w:p w14:paraId="2F0E633B" w14:textId="77777777" w:rsidR="008B4B92" w:rsidRPr="00493D38" w:rsidRDefault="00817393" w:rsidP="008B4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38">
        <w:rPr>
          <w:rFonts w:ascii="Times New Roman" w:hAnsi="Times New Roman" w:cs="Times New Roman"/>
          <w:b/>
          <w:sz w:val="24"/>
          <w:szCs w:val="24"/>
        </w:rPr>
        <w:t>Warunki przystąpienia do konkursu</w:t>
      </w:r>
    </w:p>
    <w:p w14:paraId="56018A9A" w14:textId="77777777" w:rsidR="00817393" w:rsidRPr="00493D38" w:rsidRDefault="00752046" w:rsidP="001115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Z wnioskami o przyznanie środków finansowych </w:t>
      </w:r>
      <w:r w:rsidR="00176B72" w:rsidRPr="00493D38">
        <w:rPr>
          <w:rFonts w:ascii="Times New Roman" w:hAnsi="Times New Roman" w:cs="Times New Roman"/>
          <w:sz w:val="24"/>
          <w:szCs w:val="24"/>
        </w:rPr>
        <w:t>na realizację badania mogą wystąpić</w:t>
      </w:r>
      <w:r w:rsidR="005D2B0F" w:rsidRPr="00493D38">
        <w:rPr>
          <w:rFonts w:ascii="Times New Roman" w:hAnsi="Times New Roman" w:cs="Times New Roman"/>
          <w:sz w:val="24"/>
          <w:szCs w:val="24"/>
        </w:rPr>
        <w:t>:</w:t>
      </w:r>
    </w:p>
    <w:p w14:paraId="142F0A51" w14:textId="0DB17A9A" w:rsidR="005D2B0F" w:rsidRPr="00493D38" w:rsidRDefault="005D2B0F" w:rsidP="00111561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>uczelnia - szkoła wyższa w rozumieniu ustawy z dnia 20 lipca 2018 r. – Prawo o szkolnictwie wyższym i nauce (Dz. U. z 2018 r. poz. 1668</w:t>
      </w:r>
      <w:r w:rsidR="00877CD7">
        <w:rPr>
          <w:rFonts w:ascii="Times New Roman" w:hAnsi="Times New Roman"/>
        </w:rPr>
        <w:t>, ze zm.</w:t>
      </w:r>
      <w:r w:rsidRPr="00493D38">
        <w:rPr>
          <w:rFonts w:ascii="Times New Roman" w:hAnsi="Times New Roman"/>
        </w:rPr>
        <w:t xml:space="preserve">), </w:t>
      </w:r>
    </w:p>
    <w:p w14:paraId="6BAB8D21" w14:textId="1449FE53" w:rsidR="003350BC" w:rsidRPr="00493D38" w:rsidRDefault="003350BC" w:rsidP="00111561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>jednostka naukowa Polskiej Akademii Nauk w rozumieniu ustawy z dnia 30 kwietnia 2010r. o Polskiej Akademii Nauk (</w:t>
      </w:r>
      <w:proofErr w:type="spellStart"/>
      <w:r w:rsidR="00234079" w:rsidRPr="00493D38">
        <w:rPr>
          <w:rFonts w:ascii="Times New Roman" w:hAnsi="Times New Roman"/>
        </w:rPr>
        <w:t>t.j</w:t>
      </w:r>
      <w:proofErr w:type="spellEnd"/>
      <w:r w:rsidR="00234079" w:rsidRPr="00493D38">
        <w:rPr>
          <w:rFonts w:ascii="Times New Roman" w:hAnsi="Times New Roman"/>
        </w:rPr>
        <w:t>. Dz.U. z 2019 r. poz. 1183</w:t>
      </w:r>
      <w:r w:rsidRPr="00493D38">
        <w:rPr>
          <w:rFonts w:ascii="Times New Roman" w:hAnsi="Times New Roman"/>
        </w:rPr>
        <w:t xml:space="preserve">), </w:t>
      </w:r>
    </w:p>
    <w:p w14:paraId="2F5224AC" w14:textId="4AA2E354" w:rsidR="003350BC" w:rsidRPr="00493D38" w:rsidRDefault="003350BC" w:rsidP="00111561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>instytut badawczy, o którym mowa w art. 1 ustawy z dnia 30 kwietnia 2010 r. o instytutach badawczych (</w:t>
      </w:r>
      <w:proofErr w:type="spellStart"/>
      <w:r w:rsidRPr="00493D38">
        <w:rPr>
          <w:rFonts w:ascii="Times New Roman" w:hAnsi="Times New Roman"/>
        </w:rPr>
        <w:t>t.j</w:t>
      </w:r>
      <w:proofErr w:type="spellEnd"/>
      <w:r w:rsidRPr="00493D38">
        <w:rPr>
          <w:rFonts w:ascii="Times New Roman" w:hAnsi="Times New Roman"/>
        </w:rPr>
        <w:t>.</w:t>
      </w:r>
      <w:r w:rsidR="00234079" w:rsidRPr="00493D38">
        <w:rPr>
          <w:rFonts w:ascii="Times New Roman" w:hAnsi="Times New Roman"/>
        </w:rPr>
        <w:t xml:space="preserve"> Dz.U. z 2019 r. poz. 1350</w:t>
      </w:r>
      <w:r w:rsidRPr="00493D38">
        <w:rPr>
          <w:rFonts w:ascii="Times New Roman" w:hAnsi="Times New Roman"/>
        </w:rPr>
        <w:t>),</w:t>
      </w:r>
    </w:p>
    <w:p w14:paraId="7D55B3B8" w14:textId="5E4B7344" w:rsidR="003350BC" w:rsidRPr="00493D38" w:rsidRDefault="003350BC" w:rsidP="00111561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inny podmiot o udokumentowanym dorobku badawczym w zakresie problematyki dotyczącej przynajmniej jednego z wymienionych </w:t>
      </w:r>
      <w:r w:rsidR="00090393" w:rsidRPr="00493D38">
        <w:rPr>
          <w:rFonts w:ascii="Times New Roman" w:hAnsi="Times New Roman"/>
        </w:rPr>
        <w:t>obszarów</w:t>
      </w:r>
      <w:r w:rsidRPr="00493D38">
        <w:rPr>
          <w:rFonts w:ascii="Times New Roman" w:hAnsi="Times New Roman"/>
        </w:rPr>
        <w:t xml:space="preserve">: niepełnosprawności, edukacji, kultury, różnorodności społecznej i kulturowej,  działający na rynku przez okres minimum 3 lat, prowadzący działalność badawczą wpisaną do KRS/ewidencji działalności gospodarczej. </w:t>
      </w:r>
    </w:p>
    <w:p w14:paraId="3AFA1A11" w14:textId="6453E467" w:rsidR="00426E93" w:rsidRPr="00493D38" w:rsidRDefault="003350BC" w:rsidP="008C6E88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>Wnioskodawca może złożyć jeden wniosek na dofinansowanie badań.</w:t>
      </w:r>
      <w:r w:rsidR="008C6E88" w:rsidRPr="00493D38">
        <w:rPr>
          <w:rFonts w:ascii="Times New Roman" w:hAnsi="Times New Roman"/>
        </w:rPr>
        <w:t xml:space="preserve"> </w:t>
      </w:r>
      <w:r w:rsidR="00426E93" w:rsidRPr="00493D38">
        <w:rPr>
          <w:rFonts w:ascii="Times New Roman" w:hAnsi="Times New Roman"/>
        </w:rPr>
        <w:t xml:space="preserve">Jeden wniosek może </w:t>
      </w:r>
      <w:r w:rsidR="009E0DAF" w:rsidRPr="00493D38">
        <w:rPr>
          <w:rFonts w:ascii="Times New Roman" w:hAnsi="Times New Roman"/>
        </w:rPr>
        <w:t xml:space="preserve">dotyczyć </w:t>
      </w:r>
      <w:r w:rsidR="009D58F4" w:rsidRPr="00493D38">
        <w:rPr>
          <w:rFonts w:ascii="Times New Roman" w:hAnsi="Times New Roman"/>
        </w:rPr>
        <w:t xml:space="preserve">wyłącznie </w:t>
      </w:r>
      <w:r w:rsidR="009E0DAF" w:rsidRPr="00493D38">
        <w:rPr>
          <w:rFonts w:ascii="Times New Roman" w:hAnsi="Times New Roman"/>
        </w:rPr>
        <w:t xml:space="preserve">jednego </w:t>
      </w:r>
      <w:r w:rsidR="009D58F4" w:rsidRPr="00493D38">
        <w:rPr>
          <w:rFonts w:ascii="Times New Roman" w:hAnsi="Times New Roman"/>
        </w:rPr>
        <w:t xml:space="preserve">z </w:t>
      </w:r>
      <w:r w:rsidR="009E0DAF" w:rsidRPr="00493D38">
        <w:rPr>
          <w:rFonts w:ascii="Times New Roman" w:hAnsi="Times New Roman"/>
        </w:rPr>
        <w:t>moduł</w:t>
      </w:r>
      <w:r w:rsidR="009D58F4" w:rsidRPr="00493D38">
        <w:rPr>
          <w:rFonts w:ascii="Times New Roman" w:hAnsi="Times New Roman"/>
        </w:rPr>
        <w:t xml:space="preserve">ów określonych w </w:t>
      </w:r>
      <w:r w:rsidR="00A458AF" w:rsidRPr="00493D38">
        <w:rPr>
          <w:rFonts w:ascii="Times New Roman" w:hAnsi="Times New Roman"/>
        </w:rPr>
        <w:t xml:space="preserve">załączniku nr 1 „Opis modułów”. </w:t>
      </w:r>
    </w:p>
    <w:p w14:paraId="27C6D758" w14:textId="77777777" w:rsidR="008B4B92" w:rsidRPr="00493D38" w:rsidRDefault="003350BC" w:rsidP="00111561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>Wniosek wspólny może zostać złożony przez maksymalnie dwóch Wnioskodawców. W umowie zawartej pomiędzy Wnioskodawcami, określającej zakres ich działań składających się na realizację projektu badawczego, musi zostać wskazany Wnioskodawca Lider, który będzie odpowiedzialny m.in. za przygotowanie i przekazanie do PFRON kompletu dokumentów rozliczeniowych z przyznanego dofinansowania. Odpowiedzialność Lidera w tym zakresie polega również na weryfikacji przedkładanych Liderowi przez partnera dokumentów rozliczeniowych, na podstawie których Lider przygotowuje zbiorcze zestawienie dokumentów do PFRON.</w:t>
      </w:r>
    </w:p>
    <w:p w14:paraId="1240044B" w14:textId="77777777" w:rsidR="008B4B92" w:rsidRPr="00493D38" w:rsidRDefault="003350BC" w:rsidP="008B4B92">
      <w:pPr>
        <w:pStyle w:val="Default"/>
        <w:spacing w:after="120"/>
        <w:ind w:left="144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>Umowa określająca zakres działań Wnioskodawców składających się na realizację projektu badawczego musi wiązać Wnioskodawców na etapie składania wniosku o dofinansowanie realizacji badania</w:t>
      </w:r>
      <w:r w:rsidR="008B4B92" w:rsidRPr="00493D38">
        <w:rPr>
          <w:rFonts w:ascii="Times New Roman" w:hAnsi="Times New Roman"/>
        </w:rPr>
        <w:t>.</w:t>
      </w:r>
    </w:p>
    <w:p w14:paraId="3CF16300" w14:textId="507208A8" w:rsidR="00090393" w:rsidRPr="00493D38" w:rsidRDefault="00090393" w:rsidP="00111561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Do konkursu mogą być zgłaszane wnioski, spełniające łącznie </w:t>
      </w:r>
      <w:r w:rsidR="009D58F4" w:rsidRPr="00493D38">
        <w:rPr>
          <w:rFonts w:ascii="Times New Roman" w:hAnsi="Times New Roman"/>
        </w:rPr>
        <w:t xml:space="preserve">następujące </w:t>
      </w:r>
      <w:r w:rsidRPr="00493D38">
        <w:rPr>
          <w:rFonts w:ascii="Times New Roman" w:hAnsi="Times New Roman"/>
        </w:rPr>
        <w:t>warunki:</w:t>
      </w:r>
    </w:p>
    <w:p w14:paraId="136FC1DB" w14:textId="5BF789EE" w:rsidR="00090393" w:rsidRPr="00493D38" w:rsidRDefault="009D58F4" w:rsidP="0011156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dotyczą </w:t>
      </w:r>
      <w:r w:rsidR="00090393" w:rsidRPr="00493D38">
        <w:rPr>
          <w:rFonts w:ascii="Times New Roman" w:hAnsi="Times New Roman"/>
        </w:rPr>
        <w:t>przeprowadzeni</w:t>
      </w:r>
      <w:r w:rsidRPr="00493D38">
        <w:rPr>
          <w:rFonts w:ascii="Times New Roman" w:hAnsi="Times New Roman"/>
        </w:rPr>
        <w:t>a</w:t>
      </w:r>
      <w:r w:rsidR="00090393" w:rsidRPr="00493D38">
        <w:rPr>
          <w:rFonts w:ascii="Times New Roman" w:hAnsi="Times New Roman"/>
        </w:rPr>
        <w:t xml:space="preserve"> badania na temat niepełnosprawności w </w:t>
      </w:r>
      <w:r w:rsidRPr="00493D38">
        <w:rPr>
          <w:rFonts w:ascii="Times New Roman" w:hAnsi="Times New Roman"/>
        </w:rPr>
        <w:t xml:space="preserve">ramach </w:t>
      </w:r>
      <w:r w:rsidR="00090393" w:rsidRPr="00493D38">
        <w:rPr>
          <w:rFonts w:ascii="Times New Roman" w:hAnsi="Times New Roman"/>
        </w:rPr>
        <w:t>jedn</w:t>
      </w:r>
      <w:r w:rsidRPr="00493D38">
        <w:rPr>
          <w:rFonts w:ascii="Times New Roman" w:hAnsi="Times New Roman"/>
        </w:rPr>
        <w:t xml:space="preserve">ego z modułów określonych w </w:t>
      </w:r>
      <w:r w:rsidR="00A458AF" w:rsidRPr="00493D38">
        <w:rPr>
          <w:rFonts w:ascii="Times New Roman" w:hAnsi="Times New Roman"/>
        </w:rPr>
        <w:t xml:space="preserve">załączniku nr 1 „Opis modułów” </w:t>
      </w:r>
      <w:r w:rsidR="00090393" w:rsidRPr="00493D38">
        <w:rPr>
          <w:rFonts w:ascii="Times New Roman" w:hAnsi="Times New Roman"/>
        </w:rPr>
        <w:t>i przedstawienie jego wyników w formie raportu,</w:t>
      </w:r>
    </w:p>
    <w:p w14:paraId="416CB3A5" w14:textId="427347A7" w:rsidR="00090393" w:rsidRPr="00493D38" w:rsidRDefault="009D58F4" w:rsidP="0011156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zawierają </w:t>
      </w:r>
      <w:r w:rsidR="00090393" w:rsidRPr="00493D38">
        <w:rPr>
          <w:rFonts w:ascii="Times New Roman" w:hAnsi="Times New Roman"/>
        </w:rPr>
        <w:t>plan upowszechnienia wyników badania,</w:t>
      </w:r>
    </w:p>
    <w:p w14:paraId="0234868E" w14:textId="2D40688A" w:rsidR="00090393" w:rsidRPr="00493D38" w:rsidRDefault="009D58F4" w:rsidP="0011156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dotyczą przeprowadzenia badania zgodnego z definicją </w:t>
      </w:r>
      <w:r w:rsidR="00090393" w:rsidRPr="00493D38">
        <w:rPr>
          <w:rFonts w:ascii="Times New Roman" w:hAnsi="Times New Roman"/>
        </w:rPr>
        <w:t>bada</w:t>
      </w:r>
      <w:r w:rsidRPr="00493D38">
        <w:rPr>
          <w:rFonts w:ascii="Times New Roman" w:hAnsi="Times New Roman"/>
        </w:rPr>
        <w:t>ń</w:t>
      </w:r>
      <w:r w:rsidR="00090393" w:rsidRPr="00493D38">
        <w:rPr>
          <w:rFonts w:ascii="Times New Roman" w:hAnsi="Times New Roman"/>
        </w:rPr>
        <w:t xml:space="preserve"> podstawow</w:t>
      </w:r>
      <w:r w:rsidRPr="00493D38">
        <w:rPr>
          <w:rFonts w:ascii="Times New Roman" w:hAnsi="Times New Roman"/>
        </w:rPr>
        <w:t>ych</w:t>
      </w:r>
      <w:r w:rsidR="00090393" w:rsidRPr="00493D38">
        <w:rPr>
          <w:rFonts w:ascii="Times New Roman" w:hAnsi="Times New Roman"/>
        </w:rPr>
        <w:t xml:space="preserve"> w rozumieniu art. </w:t>
      </w:r>
      <w:r w:rsidR="00877CD7">
        <w:rPr>
          <w:rFonts w:ascii="Times New Roman" w:hAnsi="Times New Roman"/>
        </w:rPr>
        <w:t>4</w:t>
      </w:r>
      <w:r w:rsidR="00090393" w:rsidRPr="00493D38">
        <w:rPr>
          <w:rFonts w:ascii="Times New Roman" w:hAnsi="Times New Roman"/>
        </w:rPr>
        <w:t xml:space="preserve"> pkt </w:t>
      </w:r>
      <w:r w:rsidR="00877CD7">
        <w:rPr>
          <w:rFonts w:ascii="Times New Roman" w:hAnsi="Times New Roman"/>
        </w:rPr>
        <w:t>ust 2 pkt 1</w:t>
      </w:r>
      <w:r w:rsidR="00090393" w:rsidRPr="00493D38">
        <w:rPr>
          <w:rFonts w:ascii="Times New Roman" w:hAnsi="Times New Roman"/>
        </w:rPr>
        <w:t xml:space="preserve"> ustawy z dnia </w:t>
      </w:r>
      <w:r w:rsidR="00877CD7">
        <w:rPr>
          <w:rFonts w:ascii="Times New Roman" w:hAnsi="Times New Roman"/>
        </w:rPr>
        <w:t>20</w:t>
      </w:r>
      <w:r w:rsidR="00090393" w:rsidRPr="00493D38">
        <w:rPr>
          <w:rFonts w:ascii="Times New Roman" w:hAnsi="Times New Roman"/>
        </w:rPr>
        <w:t xml:space="preserve"> </w:t>
      </w:r>
      <w:r w:rsidR="00877CD7">
        <w:rPr>
          <w:rFonts w:ascii="Times New Roman" w:hAnsi="Times New Roman"/>
        </w:rPr>
        <w:t>lipca</w:t>
      </w:r>
      <w:r w:rsidR="00090393" w:rsidRPr="00493D38">
        <w:rPr>
          <w:rFonts w:ascii="Times New Roman" w:hAnsi="Times New Roman"/>
        </w:rPr>
        <w:t xml:space="preserve"> 201</w:t>
      </w:r>
      <w:r w:rsidR="00877CD7">
        <w:rPr>
          <w:rFonts w:ascii="Times New Roman" w:hAnsi="Times New Roman"/>
        </w:rPr>
        <w:t>8 r. (Prawo o szkolnictwie wyższym i nauce)</w:t>
      </w:r>
      <w:r w:rsidR="00090393" w:rsidRPr="00493D38">
        <w:rPr>
          <w:rFonts w:ascii="Times New Roman" w:hAnsi="Times New Roman"/>
        </w:rPr>
        <w:t>,</w:t>
      </w:r>
    </w:p>
    <w:p w14:paraId="341A9F3F" w14:textId="199495A8" w:rsidR="00090393" w:rsidRPr="00493D38" w:rsidRDefault="00090393" w:rsidP="0011156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>okres</w:t>
      </w:r>
      <w:r w:rsidR="009D58F4" w:rsidRPr="00493D38">
        <w:rPr>
          <w:rFonts w:ascii="Times New Roman" w:hAnsi="Times New Roman"/>
        </w:rPr>
        <w:t xml:space="preserve"> ich</w:t>
      </w:r>
      <w:r w:rsidRPr="00493D38">
        <w:rPr>
          <w:rFonts w:ascii="Times New Roman" w:hAnsi="Times New Roman"/>
        </w:rPr>
        <w:t xml:space="preserve"> realizacji wynosi co najwyżej 10 miesięcy,</w:t>
      </w:r>
    </w:p>
    <w:p w14:paraId="7C5C0D6D" w14:textId="14E83700" w:rsidR="00090393" w:rsidRPr="00493D38" w:rsidRDefault="00090393" w:rsidP="0011156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wysokość </w:t>
      </w:r>
      <w:r w:rsidR="009D58F4" w:rsidRPr="00493D38">
        <w:rPr>
          <w:rFonts w:ascii="Times New Roman" w:hAnsi="Times New Roman"/>
        </w:rPr>
        <w:t xml:space="preserve">wnioskowanego </w:t>
      </w:r>
      <w:r w:rsidRPr="00493D38">
        <w:rPr>
          <w:rFonts w:ascii="Times New Roman" w:hAnsi="Times New Roman"/>
        </w:rPr>
        <w:t xml:space="preserve">dofinansowania </w:t>
      </w:r>
      <w:r w:rsidR="001229BF" w:rsidRPr="00493D38">
        <w:rPr>
          <w:rFonts w:ascii="Times New Roman" w:hAnsi="Times New Roman"/>
          <w:color w:val="auto"/>
        </w:rPr>
        <w:t xml:space="preserve">nie przekracza </w:t>
      </w:r>
      <w:r w:rsidRPr="00493D38">
        <w:rPr>
          <w:rFonts w:ascii="Times New Roman" w:hAnsi="Times New Roman"/>
        </w:rPr>
        <w:t>120</w:t>
      </w:r>
      <w:r w:rsidR="00481624" w:rsidRPr="00493D38">
        <w:rPr>
          <w:rFonts w:ascii="Times New Roman" w:hAnsi="Times New Roman"/>
        </w:rPr>
        <w:t>.</w:t>
      </w:r>
      <w:r w:rsidRPr="00493D38">
        <w:rPr>
          <w:rFonts w:ascii="Times New Roman" w:hAnsi="Times New Roman"/>
        </w:rPr>
        <w:t>000 złotych,</w:t>
      </w:r>
    </w:p>
    <w:p w14:paraId="727C01C2" w14:textId="0C702B83" w:rsidR="00090393" w:rsidRPr="00493D38" w:rsidRDefault="00090393" w:rsidP="0011156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koszty </w:t>
      </w:r>
      <w:r w:rsidR="009D58F4" w:rsidRPr="00493D38">
        <w:rPr>
          <w:rFonts w:ascii="Times New Roman" w:hAnsi="Times New Roman"/>
        </w:rPr>
        <w:t xml:space="preserve">ich </w:t>
      </w:r>
      <w:r w:rsidRPr="00493D38">
        <w:rPr>
          <w:rFonts w:ascii="Times New Roman" w:hAnsi="Times New Roman"/>
        </w:rPr>
        <w:t>realizacji uwzględniają zasady określone w załączniku nr 2 do niniejszych zasad</w:t>
      </w:r>
      <w:r w:rsidR="009E0DAF" w:rsidRPr="00493D38">
        <w:rPr>
          <w:rFonts w:ascii="Times New Roman" w:hAnsi="Times New Roman"/>
        </w:rPr>
        <w:t>,</w:t>
      </w:r>
    </w:p>
    <w:p w14:paraId="1A5C76BA" w14:textId="1EBAF570" w:rsidR="006D0450" w:rsidRPr="00493D38" w:rsidRDefault="006D0450" w:rsidP="0011156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lastRenderedPageBreak/>
        <w:t>spełniają warunki opisane w załączniku</w:t>
      </w:r>
      <w:r w:rsidR="007E54BC" w:rsidRPr="00493D38">
        <w:rPr>
          <w:rFonts w:ascii="Times New Roman" w:hAnsi="Times New Roman"/>
        </w:rPr>
        <w:t xml:space="preserve"> nr</w:t>
      </w:r>
      <w:r w:rsidRPr="00493D38">
        <w:rPr>
          <w:rFonts w:ascii="Times New Roman" w:hAnsi="Times New Roman"/>
        </w:rPr>
        <w:t xml:space="preserve"> 1 do niniejszych zasad</w:t>
      </w:r>
      <w:r w:rsidR="009D58F4" w:rsidRPr="00493D38">
        <w:rPr>
          <w:rFonts w:ascii="Times New Roman" w:hAnsi="Times New Roman"/>
        </w:rPr>
        <w:t xml:space="preserve"> dotyczące modułu, w ramach którego będzie prowadzone badanie</w:t>
      </w:r>
      <w:r w:rsidRPr="00493D38">
        <w:rPr>
          <w:rFonts w:ascii="Times New Roman" w:hAnsi="Times New Roman"/>
        </w:rPr>
        <w:t xml:space="preserve">. </w:t>
      </w:r>
    </w:p>
    <w:p w14:paraId="68436BCD" w14:textId="77777777" w:rsidR="00135B07" w:rsidRPr="00493D38" w:rsidRDefault="00135B07" w:rsidP="00135B07">
      <w:pPr>
        <w:pStyle w:val="Default"/>
        <w:jc w:val="both"/>
        <w:rPr>
          <w:rFonts w:ascii="Times New Roman" w:hAnsi="Times New Roman"/>
          <w:color w:val="FF0000"/>
        </w:rPr>
      </w:pPr>
    </w:p>
    <w:p w14:paraId="7D8B7415" w14:textId="77777777" w:rsidR="008B4B92" w:rsidRPr="00493D38" w:rsidRDefault="00135B07" w:rsidP="008B4B92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  <w:b/>
        </w:rPr>
        <w:t>Wyłączenia w zakresie możliwości otrzymania dofinansowania</w:t>
      </w:r>
    </w:p>
    <w:p w14:paraId="69F136F2" w14:textId="77777777" w:rsidR="00731AB1" w:rsidRPr="00493D38" w:rsidRDefault="008B4B92" w:rsidP="00111561">
      <w:pPr>
        <w:pStyle w:val="Default"/>
        <w:numPr>
          <w:ilvl w:val="0"/>
          <w:numId w:val="8"/>
        </w:numPr>
        <w:jc w:val="both"/>
        <w:rPr>
          <w:rFonts w:ascii="Times New Roman" w:hAnsi="Times New Roman"/>
        </w:rPr>
      </w:pPr>
      <w:r w:rsidRPr="00493D38">
        <w:rPr>
          <w:rFonts w:ascii="Times New Roman" w:hAnsi="Times New Roman"/>
        </w:rPr>
        <w:t xml:space="preserve">O </w:t>
      </w:r>
      <w:r w:rsidR="00731AB1" w:rsidRPr="00493D38">
        <w:rPr>
          <w:rFonts w:ascii="Times New Roman" w:hAnsi="Times New Roman"/>
        </w:rPr>
        <w:t xml:space="preserve">dofinansowanie nie mogą ubiegać się podmioty: </w:t>
      </w:r>
    </w:p>
    <w:p w14:paraId="65D5E2B7" w14:textId="77777777" w:rsidR="00731AB1" w:rsidRPr="00493D38" w:rsidRDefault="00731AB1" w:rsidP="00A458AF">
      <w:pPr>
        <w:pStyle w:val="Akapitzlist"/>
        <w:numPr>
          <w:ilvl w:val="0"/>
          <w:numId w:val="4"/>
        </w:numPr>
        <w:spacing w:before="60" w:after="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wobec których wszczęta została procedura zawiadomienia właściwych organów o możliwości popełnienia przestępstwa,</w:t>
      </w:r>
    </w:p>
    <w:p w14:paraId="59676989" w14:textId="77777777" w:rsidR="00731AB1" w:rsidRPr="00493D38" w:rsidRDefault="00731AB1" w:rsidP="00A458AF">
      <w:pPr>
        <w:pStyle w:val="Akapitzlist"/>
        <w:numPr>
          <w:ilvl w:val="0"/>
          <w:numId w:val="4"/>
        </w:numPr>
        <w:spacing w:before="60" w:after="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które w przeszłości były stroną umowy zawartej z PFRON, rozwiązanej z przyczyn leżących po ich stronie – wykluczenie obowiązuje w ciągu 3 lat, licząc od dnia, w którym wygasło zobowiązanie wobec PFRON,</w:t>
      </w:r>
    </w:p>
    <w:p w14:paraId="6F488B8D" w14:textId="77777777" w:rsidR="00731AB1" w:rsidRPr="00493D38" w:rsidRDefault="00731AB1" w:rsidP="00A458AF">
      <w:pPr>
        <w:pStyle w:val="Akapitzlist"/>
        <w:numPr>
          <w:ilvl w:val="0"/>
          <w:numId w:val="4"/>
        </w:numPr>
        <w:spacing w:before="60" w:after="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 których funkcje organów uprawnionych do reprezentowania podmiotu pełnią osoby, w stosunku do których toczą się postępowania o przestępstwo ścigane z oskarżenia publicznego lub przestępstwo skarbowe lub osoby, które zostały skazane za popełnienie ww. przestępstwa,</w:t>
      </w:r>
    </w:p>
    <w:p w14:paraId="4D1E97CF" w14:textId="77777777" w:rsidR="00731AB1" w:rsidRPr="00493D38" w:rsidRDefault="00731AB1" w:rsidP="00A458AF">
      <w:pPr>
        <w:pStyle w:val="Akapitzlist"/>
        <w:numPr>
          <w:ilvl w:val="0"/>
          <w:numId w:val="4"/>
        </w:numPr>
        <w:spacing w:before="60" w:after="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które zostały postawione w stan upadłości lub likwidacji,</w:t>
      </w:r>
    </w:p>
    <w:p w14:paraId="29B2B625" w14:textId="77777777" w:rsidR="00731AB1" w:rsidRPr="00493D38" w:rsidRDefault="00731AB1" w:rsidP="00A458AF">
      <w:pPr>
        <w:pStyle w:val="Akapitzlist"/>
        <w:numPr>
          <w:ilvl w:val="0"/>
          <w:numId w:val="4"/>
        </w:numPr>
        <w:spacing w:before="60" w:after="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które posiadają wymagalne zobowiązania wobec:</w:t>
      </w:r>
    </w:p>
    <w:p w14:paraId="48026A08" w14:textId="77777777" w:rsidR="00731AB1" w:rsidRPr="00493D38" w:rsidRDefault="00731AB1" w:rsidP="006A38DD">
      <w:pPr>
        <w:pStyle w:val="Akapitzlist"/>
        <w:numPr>
          <w:ilvl w:val="0"/>
          <w:numId w:val="5"/>
        </w:numPr>
        <w:spacing w:before="60"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PFRON, w tym zaległości w obowiązkowych wpłatach na PFRON,</w:t>
      </w:r>
    </w:p>
    <w:p w14:paraId="1FAA7E6A" w14:textId="77777777" w:rsidR="00731AB1" w:rsidRPr="00493D38" w:rsidRDefault="00731AB1" w:rsidP="006A38DD">
      <w:pPr>
        <w:pStyle w:val="Akapitzlist"/>
        <w:numPr>
          <w:ilvl w:val="0"/>
          <w:numId w:val="5"/>
        </w:numPr>
        <w:spacing w:before="60"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Ubezpieczeń Społecznych i/lub Urzędu Skarbowego,</w:t>
      </w:r>
    </w:p>
    <w:p w14:paraId="6AC06340" w14:textId="77777777" w:rsidR="00731AB1" w:rsidRPr="00493D38" w:rsidRDefault="00731AB1" w:rsidP="006A38DD">
      <w:pPr>
        <w:pStyle w:val="Akapitzlist"/>
        <w:numPr>
          <w:ilvl w:val="0"/>
          <w:numId w:val="5"/>
        </w:numPr>
        <w:spacing w:before="60"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organów i instytucji wykonujących zadania z zakresu administracji publicznej, w tym wobec jednostek samorządu terytorialnego</w:t>
      </w:r>
      <w:r w:rsidRPr="00493D38">
        <w:rPr>
          <w:rFonts w:ascii="Times New Roman" w:hAnsi="Times New Roman" w:cs="Times New Roman"/>
          <w:sz w:val="24"/>
          <w:szCs w:val="24"/>
        </w:rPr>
        <w:t>,</w:t>
      </w:r>
    </w:p>
    <w:p w14:paraId="71AC77AC" w14:textId="77777777" w:rsidR="00731AB1" w:rsidRPr="00493D38" w:rsidRDefault="00731AB1" w:rsidP="006A38DD">
      <w:pPr>
        <w:pStyle w:val="Akapitzlist"/>
        <w:numPr>
          <w:ilvl w:val="0"/>
          <w:numId w:val="5"/>
        </w:numPr>
        <w:spacing w:before="60"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14:paraId="0077F122" w14:textId="77777777" w:rsidR="00731AB1" w:rsidRPr="00493D38" w:rsidRDefault="00731AB1" w:rsidP="00731AB1">
      <w:pPr>
        <w:pStyle w:val="Akapitzlist"/>
        <w:spacing w:before="60"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A4B58" w14:textId="77777777" w:rsidR="00FF1D26" w:rsidRPr="00493D38" w:rsidRDefault="00731AB1" w:rsidP="00FF1D26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i termin składania wniosków</w:t>
      </w:r>
    </w:p>
    <w:p w14:paraId="4CD925F8" w14:textId="77777777" w:rsidR="00FF1D26" w:rsidRPr="00493D38" w:rsidRDefault="00FF1D26" w:rsidP="00111561">
      <w:pPr>
        <w:pStyle w:val="Akapitzlist"/>
        <w:numPr>
          <w:ilvl w:val="1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wniosków następuje w trybie otwartego konkursu.</w:t>
      </w:r>
    </w:p>
    <w:p w14:paraId="41926682" w14:textId="1F45144B" w:rsidR="00FF1D26" w:rsidRPr="00493D38" w:rsidRDefault="00FF1D26" w:rsidP="00111561">
      <w:pPr>
        <w:pStyle w:val="Akapitzlist"/>
        <w:numPr>
          <w:ilvl w:val="1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oraz szczegółowe zasady składania wniosków określone są w treśc</w:t>
      </w:r>
      <w:r w:rsidR="006502FE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konkursie, w ramach którego Wnioskodawca ubiega się o</w:t>
      </w:r>
      <w:r w:rsidR="009D58F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 PFRON.</w:t>
      </w:r>
    </w:p>
    <w:p w14:paraId="28736F6E" w14:textId="38284BF3" w:rsidR="00FF1D26" w:rsidRPr="00493D38" w:rsidRDefault="00FF1D26" w:rsidP="00111561">
      <w:pPr>
        <w:pStyle w:val="Akapitzlist"/>
        <w:numPr>
          <w:ilvl w:val="1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hAnsi="Times New Roman" w:cs="Times New Roman"/>
          <w:sz w:val="24"/>
          <w:szCs w:val="24"/>
        </w:rPr>
        <w:t>Wniosek o dofinansowanie realizacji badań należy sporządzić na formularzu stanowiącym załącznik nr 3 do niniejszych zasad.</w:t>
      </w:r>
    </w:p>
    <w:p w14:paraId="6F869F82" w14:textId="79265513" w:rsidR="00FF1D26" w:rsidRPr="00493D38" w:rsidRDefault="00FF1D26" w:rsidP="00111561">
      <w:pPr>
        <w:pStyle w:val="Akapitzlist"/>
        <w:numPr>
          <w:ilvl w:val="1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hAnsi="Times New Roman" w:cs="Times New Roman"/>
          <w:sz w:val="24"/>
          <w:szCs w:val="24"/>
        </w:rPr>
        <w:t>Wnios</w:t>
      </w:r>
      <w:r w:rsidR="00931FF2" w:rsidRPr="00493D38">
        <w:rPr>
          <w:rFonts w:ascii="Times New Roman" w:hAnsi="Times New Roman" w:cs="Times New Roman"/>
          <w:sz w:val="24"/>
          <w:szCs w:val="24"/>
        </w:rPr>
        <w:t>ek</w:t>
      </w:r>
      <w:r w:rsidRPr="00493D38">
        <w:rPr>
          <w:rFonts w:ascii="Times New Roman" w:hAnsi="Times New Roman" w:cs="Times New Roman"/>
          <w:sz w:val="24"/>
          <w:szCs w:val="24"/>
        </w:rPr>
        <w:t xml:space="preserve"> należy złożyć w formie elektronicznej (w wersji PDF oraz edytowalnej), wysyłając na adres podany w ogłoszeniu o konkursie. </w:t>
      </w:r>
    </w:p>
    <w:p w14:paraId="5906248A" w14:textId="772D291E" w:rsidR="0016483C" w:rsidRPr="00493D38" w:rsidRDefault="008B4B92" w:rsidP="00C75244">
      <w:pPr>
        <w:pStyle w:val="Akapitzlist"/>
        <w:numPr>
          <w:ilvl w:val="1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O terminie złożenia wniosku decyduje data i godzina wpływu wniosku na adres podany w ogłoszeniu o konkursie. </w:t>
      </w:r>
    </w:p>
    <w:p w14:paraId="5BB49633" w14:textId="77777777" w:rsidR="008B4B92" w:rsidRPr="00493D38" w:rsidRDefault="008B4B92" w:rsidP="00111561">
      <w:pPr>
        <w:pStyle w:val="Akapitzlist"/>
        <w:numPr>
          <w:ilvl w:val="1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Złożenie wniosku zostanie potwierdzone elektronicznie.</w:t>
      </w:r>
    </w:p>
    <w:p w14:paraId="39F31B16" w14:textId="77777777" w:rsidR="008B4B92" w:rsidRPr="00493D38" w:rsidRDefault="008B4B92" w:rsidP="00111561">
      <w:pPr>
        <w:pStyle w:val="Akapitzlist"/>
        <w:numPr>
          <w:ilvl w:val="1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Wniosek stanowi ofertę zawarcia umowy cywilnoprawnej i jego rozpatrzenie nie podlega przepisom kodeksu postępowania administracyjnego. </w:t>
      </w:r>
    </w:p>
    <w:p w14:paraId="7EC80C91" w14:textId="01906FFC" w:rsidR="0016483C" w:rsidRPr="00493D38" w:rsidRDefault="0016483C" w:rsidP="00657ADE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Wnioski złożone </w:t>
      </w:r>
      <w:r w:rsidR="00F355E7" w:rsidRPr="00493D38">
        <w:rPr>
          <w:rFonts w:ascii="Times New Roman" w:hAnsi="Times New Roman" w:cs="Times New Roman"/>
          <w:sz w:val="24"/>
          <w:szCs w:val="24"/>
        </w:rPr>
        <w:t>po</w:t>
      </w:r>
      <w:r w:rsidRPr="00493D38">
        <w:rPr>
          <w:rFonts w:ascii="Times New Roman" w:hAnsi="Times New Roman" w:cs="Times New Roman"/>
          <w:sz w:val="24"/>
          <w:szCs w:val="24"/>
        </w:rPr>
        <w:t xml:space="preserve"> terminie podanym w ogłoszeniu nie będą rozpatrywane. </w:t>
      </w:r>
    </w:p>
    <w:p w14:paraId="5B9716E0" w14:textId="77777777" w:rsidR="00731AB1" w:rsidRPr="00493D38" w:rsidRDefault="00731AB1" w:rsidP="00731AB1">
      <w:pPr>
        <w:pStyle w:val="Akapitzlist"/>
        <w:spacing w:before="6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E55877C" w14:textId="77777777" w:rsidR="00731AB1" w:rsidRPr="00493D38" w:rsidRDefault="00731AB1" w:rsidP="00731AB1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i kryteria oceny wniosków</w:t>
      </w:r>
    </w:p>
    <w:p w14:paraId="423B8068" w14:textId="77777777" w:rsidR="00AA7CBD" w:rsidRPr="00493D38" w:rsidRDefault="00AA7CBD" w:rsidP="00AA7CBD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Wnioski podlegają ocenie formalnej i ocenie merytorycznej według kryteriów określonych w załączniku nr 4 - karcie oceny merytorycznej. </w:t>
      </w:r>
    </w:p>
    <w:p w14:paraId="7FB9DFE2" w14:textId="77777777" w:rsidR="00BB140A" w:rsidRPr="00493D38" w:rsidRDefault="00BB140A" w:rsidP="00BB140A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wniosek jest rejestrowany przez PFRON.</w:t>
      </w:r>
    </w:p>
    <w:p w14:paraId="18CED398" w14:textId="76DD19D3" w:rsidR="00BB140A" w:rsidRPr="00493D38" w:rsidRDefault="00BB140A" w:rsidP="00BB140A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opiera się </w:t>
      </w:r>
      <w:r w:rsidR="00931FF2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931FF2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931FF2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19836AC" w14:textId="77777777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hAnsi="Times New Roman" w:cs="Times New Roman"/>
          <w:sz w:val="24"/>
          <w:szCs w:val="24"/>
        </w:rPr>
        <w:t>Oceny formalnej wniosków dokonuje Departament ds. Programów PFRON,</w:t>
      </w:r>
    </w:p>
    <w:p w14:paraId="57765720" w14:textId="16C94FD2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hAnsi="Times New Roman" w:cs="Times New Roman"/>
          <w:sz w:val="24"/>
          <w:szCs w:val="24"/>
        </w:rPr>
        <w:lastRenderedPageBreak/>
        <w:t>Ocena formalna wniosków obejmuje weryfikację kompletności wniosku, ocenę, czy dany wniosek spełnia wszystkie wymagania przedstawione w ogłoszeniu o konkursie,</w:t>
      </w:r>
    </w:p>
    <w:p w14:paraId="71F93D04" w14:textId="77777777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wniosków przeprowadzana jest przez PFRON w terminie 20 dni roboczych od daty zamknięcia konkursu,</w:t>
      </w:r>
    </w:p>
    <w:p w14:paraId="01A6ACDB" w14:textId="77777777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oceny formalnej Wnioskodawca informowany jest drogą elektroniczną na wskazany we wniosku adres mailowy w terminie 3 dni roboczych od daty zakończenia oceny formalnej wniosków,</w:t>
      </w:r>
    </w:p>
    <w:p w14:paraId="7241FE56" w14:textId="77777777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negatywnej oceny formalnej Wnioskodawca otrzymuje uzasadnienie oceny,</w:t>
      </w:r>
    </w:p>
    <w:p w14:paraId="68C70C99" w14:textId="77777777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przyczyną negatywnej oceny formalnej są nieścisłości, błędy lub braki, mogą one zostać poprawione i/lub uzupełnione przez Wnioskodawcę (Wnioskodawcę-Lidera) w terminie </w:t>
      </w:r>
      <w:r w:rsidR="006502FE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daty otrzymania informacji o wyniku oceny formalnej. Poprawa lub uzupełnienie wniosku może dotyczyć wyłącznie tych treści, o których jest mowa w uzasadnieniu negatywnej oceny formalnej wniosku. Wprowadzenie innych zmian jest niedopuszczalne,</w:t>
      </w:r>
    </w:p>
    <w:p w14:paraId="373B296B" w14:textId="47AD819F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należy </w:t>
      </w:r>
      <w:r w:rsidR="00F355E7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 (w wersji PDF oraz edytowalnej) wysyłając na adres podany w ogłoszeniu o konkursie,</w:t>
      </w:r>
    </w:p>
    <w:p w14:paraId="73B0AD8F" w14:textId="77777777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musi zostać podpisane przez osoby upoważnione do reprezentowania Wnioskodawcy,</w:t>
      </w:r>
    </w:p>
    <w:p w14:paraId="5BFF2FEC" w14:textId="77777777" w:rsidR="00BB140A" w:rsidRPr="00493D38" w:rsidRDefault="00BB140A" w:rsidP="00111561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otrzymuje ocenę negatywną bez możliwości poprawienia, jeśli Wnioskodawca nie spełnił warunków odnoszących się do wymaganego wkładu własnego, okresu realizacji projektu oraz maksymalnej kwoty dofinansowania, przedstawionych w ogłoszeniu o konkursie,</w:t>
      </w:r>
    </w:p>
    <w:p w14:paraId="67DE5D01" w14:textId="33048488" w:rsidR="00BB140A" w:rsidRPr="00493D38" w:rsidRDefault="00BB140A" w:rsidP="00A458AF">
      <w:pPr>
        <w:pStyle w:val="Akapitzlist"/>
        <w:numPr>
          <w:ilvl w:val="0"/>
          <w:numId w:val="9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 w:rsidDel="0041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poprawione lub/i uzupełnione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6502FE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6 dni roboczych od daty otrzymania informacji o wyniku oceny formalnej</w:t>
      </w:r>
      <w:r w:rsidRPr="00493D38" w:rsidDel="0041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poddane ostatecznej ocenie formalnej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5D2ECC" w14:textId="4D667527" w:rsidR="0050648A" w:rsidRPr="00493D38" w:rsidRDefault="0050648A" w:rsidP="00A458AF">
      <w:pPr>
        <w:pStyle w:val="Akapitzlist"/>
        <w:numPr>
          <w:ilvl w:val="0"/>
          <w:numId w:val="9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drugiej oceny formalnej Wnioskodawca informowany jest drogą elektroniczną na wskazany we wniosku adres mailowy w terminie 3 dni roboczych od daty zakończenia oceny formalnej wniosków</w:t>
      </w:r>
      <w:r w:rsidR="00A221EE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A2DB42" w14:textId="77777777" w:rsidR="00BB140A" w:rsidRPr="00493D38" w:rsidRDefault="00BB140A" w:rsidP="00A458AF">
      <w:pPr>
        <w:pStyle w:val="Akapitzlist"/>
        <w:numPr>
          <w:ilvl w:val="0"/>
          <w:numId w:val="9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ocenione negatywnie pod względem formalnym są przez PFRON archiwizowane,</w:t>
      </w:r>
    </w:p>
    <w:p w14:paraId="0E459A5B" w14:textId="3DA26F1D" w:rsidR="00BB140A" w:rsidRPr="00493D38" w:rsidRDefault="00BB140A" w:rsidP="00A458AF">
      <w:pPr>
        <w:pStyle w:val="Akapitzlist"/>
        <w:numPr>
          <w:ilvl w:val="0"/>
          <w:numId w:val="9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formalną wniosków kończy sporządzenie protokołu.</w:t>
      </w:r>
    </w:p>
    <w:p w14:paraId="1F3F4AA2" w14:textId="77777777" w:rsidR="00BB140A" w:rsidRPr="00493D38" w:rsidRDefault="00BB140A" w:rsidP="00A458AF">
      <w:pPr>
        <w:pStyle w:val="Akapitzlist"/>
        <w:numPr>
          <w:ilvl w:val="1"/>
          <w:numId w:val="1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opiera się na następujących zasadach:</w:t>
      </w:r>
    </w:p>
    <w:p w14:paraId="5A1EFDD2" w14:textId="77777777" w:rsidR="00C33462" w:rsidRPr="00493D38" w:rsidRDefault="00C33462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ocenione pozytywnie pod względem formalnym przekazywane są do oceny merytorycznej, która przeprowadzana jest w terminie do 45 dni roboczych od dnia zakończenia oceny formalnej wniosków,</w:t>
      </w:r>
    </w:p>
    <w:p w14:paraId="71FC3A60" w14:textId="77777777" w:rsidR="00C33462" w:rsidRPr="00493D38" w:rsidRDefault="00C33462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wniosków dokonywana jest przez komisję oceny merytorycznej, w skład której wchodzą pracownicy Departamentu ds. Programów oraz przez </w:t>
      </w:r>
      <w:r w:rsidR="005D1F49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ekspertki i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ekspertów zewnętrznych,</w:t>
      </w:r>
    </w:p>
    <w:p w14:paraId="745873F3" w14:textId="77777777" w:rsidR="005D1F49" w:rsidRPr="00493D38" w:rsidRDefault="005D1F4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wniosków dokonywana jest zgodnie z kryteriami oceny merytorycznej wniosku,</w:t>
      </w:r>
    </w:p>
    <w:p w14:paraId="006533E2" w14:textId="0E189169" w:rsidR="005D1F49" w:rsidRPr="00493D38" w:rsidRDefault="005D1F4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oceny merytorycznej powołuje zarządzeniem Prezes Zarządu PFRON. Prezes Zarządu PFRON wyznacza przewodniczącego komisji oraz wiceprzewodnicząc</w:t>
      </w:r>
      <w:r w:rsidR="0048162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komisji,</w:t>
      </w:r>
    </w:p>
    <w:p w14:paraId="4584094B" w14:textId="77777777" w:rsidR="005D1F49" w:rsidRPr="00493D38" w:rsidRDefault="005D1F4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Eksperci i ekspertki zewnętrzni wskazywani są przez komórkę organizacyjną odpowiedzialną za realizację zadania w Departamencie ds. Programów PFRON,</w:t>
      </w:r>
    </w:p>
    <w:p w14:paraId="756551D2" w14:textId="77777777" w:rsidR="005D1F49" w:rsidRPr="00493D38" w:rsidRDefault="005D1F4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ekspertów i ekspertek zewnętrznych akceptowany jest przez Prezesa lub Zastępcę Prezesa Zarządu PFRON,</w:t>
      </w:r>
    </w:p>
    <w:p w14:paraId="7849545E" w14:textId="77777777" w:rsidR="005D1F49" w:rsidRPr="00493D38" w:rsidRDefault="005D1F4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szczegółach oceny merytorycznej Wnioskodawca poinformowany zostanie drogą elektroniczną na wskazany we wniosku adres mailowy,</w:t>
      </w:r>
    </w:p>
    <w:p w14:paraId="30369721" w14:textId="47414500" w:rsidR="005D1F49" w:rsidRPr="00493D38" w:rsidRDefault="005D1F49" w:rsidP="006A38DD">
      <w:pPr>
        <w:numPr>
          <w:ilvl w:val="0"/>
          <w:numId w:val="10"/>
        </w:numPr>
        <w:spacing w:beforeLines="60" w:before="144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(Wnioskodawca-Lider)</w:t>
      </w:r>
      <w:r w:rsidR="00E67803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złożyć do Zarządu PFRON odwołani</w:t>
      </w:r>
      <w:r w:rsidR="00E67803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negatywnej </w:t>
      </w:r>
      <w:r w:rsidR="00E67803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pozytywnej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merytorycznej wniosku. </w:t>
      </w:r>
    </w:p>
    <w:p w14:paraId="3341B559" w14:textId="77777777" w:rsidR="00C33462" w:rsidRPr="00493D38" w:rsidRDefault="005D1F4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ekspertów 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ekspertek zewnętrznych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 jest ze środków przeznaczonych na finansowanie w części lub całości badań, ekspertyz i analiz dotyczących rehabilitacji zawodowej i społecznej (art. 47 ust. 1 pkt 5 lit. a ustawy),</w:t>
      </w:r>
    </w:p>
    <w:p w14:paraId="7AD6F464" w14:textId="6DB887A4" w:rsidR="005D1F49" w:rsidRPr="00493D38" w:rsidRDefault="005D1F4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</w:t>
      </w:r>
      <w:r w:rsidR="00931FF2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ekspertka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oceniając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nie m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ogą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zatrudn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ieni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realizacji projektu będącego przedmiotem tego wniosku</w:t>
      </w:r>
      <w:r w:rsidR="00C7524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21274D" w14:textId="5D179911" w:rsidR="00C75244" w:rsidRPr="00493D38" w:rsidRDefault="001473C9" w:rsidP="006A38DD">
      <w:pPr>
        <w:pStyle w:val="Akapitzlist"/>
        <w:numPr>
          <w:ilvl w:val="0"/>
          <w:numId w:val="10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zwycięzców konkursu zostanie opublikowana na stronie PFRON (</w:t>
      </w:r>
      <w:hyperlink r:id="rId9" w:history="1">
        <w:r w:rsidRPr="00493D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www.pfron.org.pl</w:t>
        </w:r>
      </w:hyperlink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36A9119" w14:textId="77777777" w:rsidR="005D1F49" w:rsidRPr="00493D38" w:rsidRDefault="005D1F49" w:rsidP="005D1F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D2DCB" w14:textId="77777777" w:rsidR="00AA7CBD" w:rsidRPr="00493D38" w:rsidRDefault="005D1F49" w:rsidP="00226004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merytorycznej</w:t>
      </w:r>
    </w:p>
    <w:p w14:paraId="0DE2AA0D" w14:textId="59040586" w:rsidR="00226004" w:rsidRPr="00493D38" w:rsidRDefault="00F90FB7" w:rsidP="00A458AF">
      <w:pPr>
        <w:pStyle w:val="Akapitzlist"/>
        <w:numPr>
          <w:ilvl w:val="0"/>
          <w:numId w:val="11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a merytoryczna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4BA27E60" w14:textId="2A6AAF80" w:rsidR="00226004" w:rsidRPr="00493D38" w:rsidRDefault="00F90FB7" w:rsidP="006A38DD">
      <w:pPr>
        <w:pStyle w:val="Akapitzlist"/>
        <w:numPr>
          <w:ilvl w:val="0"/>
          <w:numId w:val="41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6004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badań podstawowych określonych w art.</w:t>
      </w:r>
      <w:r w:rsidR="00226004" w:rsidRPr="00493D38">
        <w:rPr>
          <w:rFonts w:ascii="Times New Roman" w:hAnsi="Times New Roman" w:cs="Times New Roman"/>
          <w:sz w:val="24"/>
          <w:szCs w:val="24"/>
        </w:rPr>
        <w:t xml:space="preserve"> </w:t>
      </w:r>
      <w:r w:rsidR="00877CD7">
        <w:rPr>
          <w:rFonts w:ascii="Times New Roman" w:hAnsi="Times New Roman" w:cs="Times New Roman"/>
          <w:sz w:val="24"/>
          <w:szCs w:val="24"/>
        </w:rPr>
        <w:t>4 ust 2</w:t>
      </w:r>
      <w:r w:rsidR="00226004" w:rsidRPr="00493D38">
        <w:rPr>
          <w:rFonts w:ascii="Times New Roman" w:hAnsi="Times New Roman" w:cs="Times New Roman"/>
          <w:sz w:val="24"/>
          <w:szCs w:val="24"/>
        </w:rPr>
        <w:t xml:space="preserve"> pkt </w:t>
      </w:r>
      <w:r w:rsidR="00877CD7">
        <w:rPr>
          <w:rFonts w:ascii="Times New Roman" w:hAnsi="Times New Roman" w:cs="Times New Roman"/>
          <w:sz w:val="24"/>
          <w:szCs w:val="24"/>
        </w:rPr>
        <w:t>1</w:t>
      </w:r>
      <w:r w:rsidR="00226004" w:rsidRPr="00493D3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77CD7">
        <w:rPr>
          <w:rFonts w:ascii="Times New Roman" w:hAnsi="Times New Roman" w:cs="Times New Roman"/>
          <w:sz w:val="24"/>
          <w:szCs w:val="24"/>
        </w:rPr>
        <w:t>2</w:t>
      </w:r>
      <w:r w:rsidR="00226004" w:rsidRPr="00493D38">
        <w:rPr>
          <w:rFonts w:ascii="Times New Roman" w:hAnsi="Times New Roman" w:cs="Times New Roman"/>
          <w:sz w:val="24"/>
          <w:szCs w:val="24"/>
        </w:rPr>
        <w:t>0</w:t>
      </w:r>
      <w:r w:rsidR="00877CD7">
        <w:rPr>
          <w:rFonts w:ascii="Times New Roman" w:hAnsi="Times New Roman" w:cs="Times New Roman"/>
          <w:sz w:val="24"/>
          <w:szCs w:val="24"/>
        </w:rPr>
        <w:t xml:space="preserve"> lipca</w:t>
      </w:r>
      <w:r w:rsidR="00226004" w:rsidRPr="00493D38">
        <w:rPr>
          <w:rFonts w:ascii="Times New Roman" w:hAnsi="Times New Roman" w:cs="Times New Roman"/>
          <w:sz w:val="24"/>
          <w:szCs w:val="24"/>
        </w:rPr>
        <w:t xml:space="preserve"> 201</w:t>
      </w:r>
      <w:r w:rsidR="00877CD7">
        <w:rPr>
          <w:rFonts w:ascii="Times New Roman" w:hAnsi="Times New Roman" w:cs="Times New Roman"/>
          <w:sz w:val="24"/>
          <w:szCs w:val="24"/>
        </w:rPr>
        <w:t>8</w:t>
      </w:r>
      <w:r w:rsidR="00226004" w:rsidRPr="00493D38">
        <w:rPr>
          <w:rFonts w:ascii="Times New Roman" w:hAnsi="Times New Roman" w:cs="Times New Roman"/>
          <w:sz w:val="24"/>
          <w:szCs w:val="24"/>
        </w:rPr>
        <w:t xml:space="preserve"> r.</w:t>
      </w:r>
      <w:r w:rsidR="00877CD7">
        <w:rPr>
          <w:rFonts w:ascii="Times New Roman" w:hAnsi="Times New Roman" w:cs="Times New Roman"/>
          <w:sz w:val="24"/>
          <w:szCs w:val="24"/>
        </w:rPr>
        <w:t xml:space="preserve"> (Prawo o szkolnictwie wyższym i nauce)</w:t>
      </w:r>
      <w:r w:rsidR="00226004" w:rsidRPr="00493D38">
        <w:rPr>
          <w:rFonts w:ascii="Times New Roman" w:hAnsi="Times New Roman" w:cs="Times New Roman"/>
          <w:sz w:val="24"/>
          <w:szCs w:val="24"/>
        </w:rPr>
        <w:t>,</w:t>
      </w:r>
    </w:p>
    <w:p w14:paraId="65676401" w14:textId="77777777" w:rsidR="006A38DD" w:rsidRPr="006A38DD" w:rsidRDefault="00226004" w:rsidP="006A38DD">
      <w:pPr>
        <w:pStyle w:val="Akapitzlist"/>
        <w:numPr>
          <w:ilvl w:val="0"/>
          <w:numId w:val="41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DD">
        <w:rPr>
          <w:rFonts w:ascii="Times New Roman" w:hAnsi="Times New Roman" w:cs="Times New Roman"/>
          <w:sz w:val="24"/>
          <w:szCs w:val="24"/>
        </w:rPr>
        <w:t>planowane badani</w:t>
      </w:r>
      <w:r w:rsidR="00A458AF" w:rsidRPr="006A38DD">
        <w:rPr>
          <w:rFonts w:ascii="Times New Roman" w:hAnsi="Times New Roman" w:cs="Times New Roman"/>
          <w:sz w:val="24"/>
          <w:szCs w:val="24"/>
        </w:rPr>
        <w:t>e</w:t>
      </w:r>
      <w:r w:rsidRPr="006A38DD">
        <w:rPr>
          <w:rFonts w:ascii="Times New Roman" w:hAnsi="Times New Roman" w:cs="Times New Roman"/>
          <w:sz w:val="24"/>
          <w:szCs w:val="24"/>
        </w:rPr>
        <w:t>,</w:t>
      </w:r>
    </w:p>
    <w:p w14:paraId="1DF3EEE8" w14:textId="77777777" w:rsidR="006A38DD" w:rsidRDefault="00226004" w:rsidP="006A38DD">
      <w:pPr>
        <w:pStyle w:val="Akapitzlist"/>
        <w:numPr>
          <w:ilvl w:val="0"/>
          <w:numId w:val="41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</w:t>
      </w:r>
      <w:r w:rsidR="00A458AF"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popularyzując</w:t>
      </w:r>
      <w:r w:rsidR="00A458AF"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badania,</w:t>
      </w:r>
    </w:p>
    <w:p w14:paraId="7E2E720B" w14:textId="77777777" w:rsidR="006A38DD" w:rsidRDefault="00226004" w:rsidP="006A38DD">
      <w:pPr>
        <w:pStyle w:val="Akapitzlist"/>
        <w:numPr>
          <w:ilvl w:val="0"/>
          <w:numId w:val="41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</w:t>
      </w:r>
      <w:r w:rsidR="00A458AF"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badawcze osób realizujących badanie,</w:t>
      </w:r>
    </w:p>
    <w:p w14:paraId="23233C87" w14:textId="2C8B7C5B" w:rsidR="00226004" w:rsidRPr="006A38DD" w:rsidRDefault="00226004" w:rsidP="006A38DD">
      <w:pPr>
        <w:pStyle w:val="Akapitzlist"/>
        <w:numPr>
          <w:ilvl w:val="0"/>
          <w:numId w:val="41"/>
        </w:numPr>
        <w:spacing w:before="60" w:after="0" w:line="240" w:lineRule="auto"/>
        <w:ind w:left="184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DD">
        <w:rPr>
          <w:rFonts w:ascii="Times New Roman" w:hAnsi="Times New Roman" w:cs="Times New Roman"/>
          <w:sz w:val="24"/>
          <w:szCs w:val="24"/>
        </w:rPr>
        <w:t>zasadnoś</w:t>
      </w:r>
      <w:r w:rsidR="00A458AF" w:rsidRPr="006A38DD">
        <w:rPr>
          <w:rFonts w:ascii="Times New Roman" w:hAnsi="Times New Roman" w:cs="Times New Roman"/>
          <w:sz w:val="24"/>
          <w:szCs w:val="24"/>
        </w:rPr>
        <w:t>ć</w:t>
      </w:r>
      <w:r w:rsidRPr="006A38DD">
        <w:rPr>
          <w:rFonts w:ascii="Times New Roman" w:hAnsi="Times New Roman" w:cs="Times New Roman"/>
          <w:sz w:val="24"/>
          <w:szCs w:val="24"/>
        </w:rPr>
        <w:t xml:space="preserve"> planowanych kosztów w stosunku do przedmiotu i zakresu badania.</w:t>
      </w:r>
    </w:p>
    <w:p w14:paraId="19D5D2F3" w14:textId="2BD039D8" w:rsidR="00226004" w:rsidRPr="00493D38" w:rsidRDefault="00226004" w:rsidP="00A458AF">
      <w:pPr>
        <w:pStyle w:val="Akapitzlist"/>
        <w:numPr>
          <w:ilvl w:val="0"/>
          <w:numId w:val="11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Ocena merytoryczna wniosku polega na sporządzeniu indywidualnych ocen przez </w:t>
      </w:r>
      <w:r w:rsidR="003E7438" w:rsidRPr="00493D38">
        <w:rPr>
          <w:rFonts w:ascii="Times New Roman" w:hAnsi="Times New Roman" w:cs="Times New Roman"/>
          <w:sz w:val="24"/>
          <w:szCs w:val="24"/>
        </w:rPr>
        <w:t xml:space="preserve">członków komisji oceny merytorycznej oraz </w:t>
      </w:r>
      <w:r w:rsidRPr="00493D38">
        <w:rPr>
          <w:rFonts w:ascii="Times New Roman" w:hAnsi="Times New Roman" w:cs="Times New Roman"/>
          <w:sz w:val="24"/>
          <w:szCs w:val="24"/>
        </w:rPr>
        <w:t>ekspertów</w:t>
      </w:r>
      <w:r w:rsidR="0050648A" w:rsidRPr="00493D38">
        <w:rPr>
          <w:rFonts w:ascii="Times New Roman" w:hAnsi="Times New Roman" w:cs="Times New Roman"/>
          <w:sz w:val="24"/>
          <w:szCs w:val="24"/>
        </w:rPr>
        <w:t>/</w:t>
      </w:r>
      <w:r w:rsidRPr="00493D38">
        <w:rPr>
          <w:rFonts w:ascii="Times New Roman" w:hAnsi="Times New Roman" w:cs="Times New Roman"/>
          <w:sz w:val="24"/>
          <w:szCs w:val="24"/>
        </w:rPr>
        <w:t>ekspertki</w:t>
      </w:r>
      <w:r w:rsidR="003E7438" w:rsidRPr="00493D38">
        <w:rPr>
          <w:rFonts w:ascii="Times New Roman" w:hAnsi="Times New Roman" w:cs="Times New Roman"/>
          <w:sz w:val="24"/>
          <w:szCs w:val="24"/>
        </w:rPr>
        <w:t xml:space="preserve"> zewnętrznych</w:t>
      </w:r>
      <w:r w:rsidRPr="00493D38">
        <w:rPr>
          <w:rFonts w:ascii="Times New Roman" w:hAnsi="Times New Roman" w:cs="Times New Roman"/>
          <w:sz w:val="24"/>
          <w:szCs w:val="24"/>
        </w:rPr>
        <w:t>:</w:t>
      </w:r>
    </w:p>
    <w:p w14:paraId="7094C017" w14:textId="77777777" w:rsidR="006A38DD" w:rsidRPr="006A38DD" w:rsidRDefault="00226004" w:rsidP="00A458AF">
      <w:pPr>
        <w:pStyle w:val="Akapitzlist"/>
        <w:numPr>
          <w:ilvl w:val="0"/>
          <w:numId w:val="14"/>
        </w:numPr>
        <w:spacing w:before="60" w:after="0" w:line="240" w:lineRule="auto"/>
        <w:ind w:left="180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DD">
        <w:rPr>
          <w:rFonts w:ascii="Times New Roman" w:hAnsi="Times New Roman" w:cs="Times New Roman"/>
          <w:sz w:val="24"/>
          <w:szCs w:val="24"/>
        </w:rPr>
        <w:t xml:space="preserve">indywidualna ocena eksperta/ekspertki składa się z oceny punktowej </w:t>
      </w:r>
      <w:r w:rsidRPr="006A38DD">
        <w:rPr>
          <w:rFonts w:ascii="Times New Roman" w:hAnsi="Times New Roman" w:cs="Times New Roman"/>
          <w:sz w:val="24"/>
          <w:szCs w:val="24"/>
        </w:rPr>
        <w:br/>
        <w:t>i uzasadnienia,</w:t>
      </w:r>
    </w:p>
    <w:p w14:paraId="193E08A9" w14:textId="48012FD4" w:rsidR="002B0502" w:rsidRPr="006A38DD" w:rsidRDefault="003E7438" w:rsidP="00A458AF">
      <w:pPr>
        <w:pStyle w:val="Akapitzlist"/>
        <w:numPr>
          <w:ilvl w:val="0"/>
          <w:numId w:val="14"/>
        </w:numPr>
        <w:spacing w:before="60" w:after="0" w:line="240" w:lineRule="auto"/>
        <w:ind w:left="180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DD">
        <w:rPr>
          <w:rFonts w:ascii="Times New Roman" w:hAnsi="Times New Roman" w:cs="Times New Roman"/>
          <w:sz w:val="24"/>
          <w:szCs w:val="24"/>
        </w:rPr>
        <w:t xml:space="preserve">wniosek otrzymuje ocenę punktową w skali od 0 do </w:t>
      </w:r>
      <w:r w:rsidR="000062C5" w:rsidRPr="006A38DD">
        <w:rPr>
          <w:rFonts w:ascii="Times New Roman" w:hAnsi="Times New Roman" w:cs="Times New Roman"/>
          <w:sz w:val="24"/>
          <w:szCs w:val="24"/>
        </w:rPr>
        <w:t>28</w:t>
      </w:r>
      <w:r w:rsidRPr="006A38DD">
        <w:rPr>
          <w:rFonts w:ascii="Times New Roman" w:hAnsi="Times New Roman" w:cs="Times New Roman"/>
          <w:sz w:val="24"/>
          <w:szCs w:val="24"/>
        </w:rPr>
        <w:t xml:space="preserve"> punktów.</w:t>
      </w:r>
    </w:p>
    <w:p w14:paraId="7BDEEA4C" w14:textId="77777777" w:rsidR="003E7438" w:rsidRPr="00493D38" w:rsidRDefault="003E7438" w:rsidP="00296038">
      <w:pPr>
        <w:pStyle w:val="Akapitzlist"/>
        <w:numPr>
          <w:ilvl w:val="0"/>
          <w:numId w:val="1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Ocena końcowa jest średnią z ocen członków komisji oceny merytorycznej oraz ekspertów i ekspertek zewnętrznych. Każdy wniosek oceniany jest przez cztery osoby. </w:t>
      </w:r>
    </w:p>
    <w:p w14:paraId="31CF5A93" w14:textId="77777777" w:rsidR="003E7438" w:rsidRPr="00493D38" w:rsidRDefault="003E7438" w:rsidP="00296038">
      <w:pPr>
        <w:pStyle w:val="Akapitzlist"/>
        <w:numPr>
          <w:ilvl w:val="0"/>
          <w:numId w:val="1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Wniosek, który otrzyma od co najmniej dwóch osób oceniających 0 punktów w tym samym kryterium podlegającym ocenie nie może zostać zakwalifikowany do finansowania. </w:t>
      </w:r>
    </w:p>
    <w:p w14:paraId="7AD281B4" w14:textId="5B38956A" w:rsidR="002B0502" w:rsidRPr="00493D38" w:rsidRDefault="002B0502" w:rsidP="00A458AF">
      <w:pPr>
        <w:pStyle w:val="Akapitzlist"/>
        <w:numPr>
          <w:ilvl w:val="0"/>
          <w:numId w:val="11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z modułów zostanie wyłoniony jeden zwycięzca, który zdobył najwyższą </w:t>
      </w:r>
      <w:r w:rsidR="00F90FB7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punktów. </w:t>
      </w:r>
    </w:p>
    <w:p w14:paraId="78C6E174" w14:textId="51FE5301" w:rsidR="00FD6365" w:rsidRPr="00493D38" w:rsidRDefault="00FD6365" w:rsidP="00A458AF">
      <w:pPr>
        <w:pStyle w:val="Akapitzlist"/>
        <w:numPr>
          <w:ilvl w:val="0"/>
          <w:numId w:val="11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oceny merytorycznej ma prawo zadecydować o nieprzyznaniu finansowania w jednym, dwóch lub trzech modułach</w:t>
      </w:r>
      <w:r w:rsidR="00F90FB7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wnioski w nich złożone nie otrzymają co najmniej </w:t>
      </w:r>
      <w:r w:rsidR="006502FE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 </w:t>
      </w:r>
    </w:p>
    <w:p w14:paraId="0D7729AC" w14:textId="585B7590" w:rsidR="00657ADE" w:rsidRPr="00493D38" w:rsidRDefault="00FD6365" w:rsidP="00A458AF">
      <w:pPr>
        <w:pStyle w:val="Akapitzlist"/>
        <w:numPr>
          <w:ilvl w:val="0"/>
          <w:numId w:val="11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oceny merytorycznej stanowi załącznik nr </w:t>
      </w:r>
      <w:r w:rsidR="00657ADE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zasad. </w:t>
      </w:r>
    </w:p>
    <w:p w14:paraId="7FAB3C6F" w14:textId="77777777" w:rsidR="00FD6365" w:rsidRPr="00493D38" w:rsidRDefault="00FD6365" w:rsidP="00A458AF">
      <w:pPr>
        <w:pStyle w:val="Akapitzlist"/>
        <w:numPr>
          <w:ilvl w:val="0"/>
          <w:numId w:val="1"/>
        </w:numPr>
        <w:spacing w:before="6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</w:t>
      </w:r>
    </w:p>
    <w:p w14:paraId="2D4B2172" w14:textId="429CCAA1" w:rsidR="00FD6365" w:rsidRPr="00493D38" w:rsidRDefault="00FD6365" w:rsidP="00234079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ocen komisji oceny merytorycznej Departament ds. Programów PFRON sporządza</w:t>
      </w:r>
      <w:r w:rsidR="00234079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rankingową</w:t>
      </w:r>
      <w:r w:rsidR="00234079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4EDE05" w14:textId="77777777" w:rsidR="00FD6365" w:rsidRPr="00493D38" w:rsidRDefault="00FD6365" w:rsidP="00FD6365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w sprawie przyznania dofinansowania i jego wysokości podejmuje Zarząd PFRON. </w:t>
      </w:r>
    </w:p>
    <w:p w14:paraId="0AA823DC" w14:textId="77777777" w:rsidR="00FD6365" w:rsidRPr="00493D38" w:rsidRDefault="00FD6365" w:rsidP="00FD6365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podjęcia decyzji w sprawie przyznania dofinansowania są informacje aktualne na dzień złożenia wniosku. W sytuacji, gdy Wnioskodawca na etapie oceny formalnej zobowiązany jest do uzupełnienia danych, podstawą podjęcia decyzji są informacje aktualne na dzień uzupełnienia wniosku.</w:t>
      </w:r>
    </w:p>
    <w:p w14:paraId="6F7471AE" w14:textId="77777777" w:rsidR="00FD6365" w:rsidRPr="00493D38" w:rsidRDefault="00FD6365" w:rsidP="00FD6365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dofinansowania w kwocie niższej niż wnioskowana, wkład własny Wnioskodawcy może ulec zmniejszeniu kwotowemu, jednakże z zachowaniem deklarowanego poziomu procentowego.</w:t>
      </w:r>
    </w:p>
    <w:p w14:paraId="613A1A58" w14:textId="77777777" w:rsidR="00FD6365" w:rsidRPr="00493D38" w:rsidRDefault="00FD6365" w:rsidP="00FD6365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ds. Programów PFRON powiadamia Wnioskodawcę o podjętej decyzji drogą elektroniczną, w terminie 5 dni roboczych od daty podjęcia decyzji. </w:t>
      </w:r>
    </w:p>
    <w:p w14:paraId="0D117ECF" w14:textId="2B208D79" w:rsidR="00FD6365" w:rsidRPr="00493D38" w:rsidRDefault="00FD6365" w:rsidP="00FD6365">
      <w:pPr>
        <w:pStyle w:val="Akapitzlist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353AC3"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przyznano dofinansowanie</w:t>
      </w: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realizowane i rozliczane w Departamencie ds. Programów PFRON.</w:t>
      </w:r>
    </w:p>
    <w:p w14:paraId="733A80B2" w14:textId="77777777" w:rsidR="00FD6365" w:rsidRPr="00493D38" w:rsidRDefault="00FD6365" w:rsidP="00FD6365">
      <w:pPr>
        <w:pStyle w:val="Akapitzlist"/>
        <w:numPr>
          <w:ilvl w:val="1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rozpatrzone negatywnie podlegają archiwizacji.</w:t>
      </w:r>
    </w:p>
    <w:p w14:paraId="26682108" w14:textId="77777777" w:rsidR="00FD6365" w:rsidRPr="00493D38" w:rsidRDefault="00FD6365" w:rsidP="00FD6365">
      <w:pPr>
        <w:pStyle w:val="Akapitzlist"/>
        <w:spacing w:before="6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7E6D5" w14:textId="77777777" w:rsidR="00FD6365" w:rsidRPr="00493D38" w:rsidRDefault="00FD6365" w:rsidP="00FD6365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Aktualizacja wniosku przed </w:t>
      </w:r>
      <w:r w:rsidR="00C9306F" w:rsidRPr="0049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podpisaniem umowy o dofinansowanie </w:t>
      </w:r>
    </w:p>
    <w:p w14:paraId="26EF3254" w14:textId="77777777" w:rsidR="00B46311" w:rsidRPr="006A38DD" w:rsidRDefault="00B021D5" w:rsidP="006A38DD">
      <w:pPr>
        <w:pStyle w:val="Akapitzlist"/>
        <w:numPr>
          <w:ilvl w:val="0"/>
          <w:numId w:val="42"/>
        </w:numPr>
        <w:spacing w:before="6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A38DD">
        <w:rPr>
          <w:rFonts w:ascii="Times New Roman" w:hAnsi="Times New Roman" w:cs="Times New Roman"/>
          <w:sz w:val="24"/>
          <w:szCs w:val="24"/>
        </w:rPr>
        <w:t>Po podjęciu decyzji w sprawie przyznania dofinansowania PFRON, drogą elektroniczną, wzywa Wnioskodawcę (Wnioskodawcę-Lidera) do zaktualizowania wniosku zgodnie z uwagami zawartymi w ocenie merytorycznej wniosku.</w:t>
      </w:r>
    </w:p>
    <w:p w14:paraId="416A75CA" w14:textId="41EF06EA" w:rsidR="00245120" w:rsidRPr="006A38DD" w:rsidRDefault="00245120" w:rsidP="006A38DD">
      <w:pPr>
        <w:pStyle w:val="Akapitzlist"/>
        <w:numPr>
          <w:ilvl w:val="0"/>
          <w:numId w:val="42"/>
        </w:numPr>
        <w:spacing w:before="60" w:after="0" w:line="240" w:lineRule="auto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8DD">
        <w:rPr>
          <w:rFonts w:ascii="Times New Roman" w:hAnsi="Times New Roman" w:cs="Times New Roman"/>
          <w:sz w:val="24"/>
          <w:szCs w:val="24"/>
        </w:rPr>
        <w:t>Wnioskodawca (Wnioskodawca-Lider) zobowiązany jest do zaktualizowania wniosku zgodnie z uwagami zawartymi w ocenie merytorycznej wniosku i przesłania dokumentów w formie elektronicznej (w wersji PDF oraz edytowalnej) na adres podany w ogłoszeniu o konkursie</w:t>
      </w:r>
      <w:r w:rsidR="00234079" w:rsidRPr="006A38DD">
        <w:rPr>
          <w:rFonts w:ascii="Times New Roman" w:hAnsi="Times New Roman" w:cs="Times New Roman"/>
          <w:sz w:val="24"/>
          <w:szCs w:val="24"/>
        </w:rPr>
        <w:t xml:space="preserve">, w terminie 5 dni roboczych od daty otrzymania pisma. </w:t>
      </w:r>
    </w:p>
    <w:p w14:paraId="2C35A5D8" w14:textId="77777777" w:rsidR="007E54BC" w:rsidRPr="00493D38" w:rsidRDefault="007E54BC" w:rsidP="007E54BC">
      <w:pPr>
        <w:pStyle w:val="Akapitzlist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2812AE" w14:textId="24805596" w:rsidR="007E54BC" w:rsidRPr="006A38DD" w:rsidRDefault="007E54BC" w:rsidP="006A38DD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DD">
        <w:rPr>
          <w:rFonts w:ascii="Times New Roman" w:hAnsi="Times New Roman" w:cs="Times New Roman"/>
          <w:b/>
          <w:sz w:val="24"/>
          <w:szCs w:val="24"/>
        </w:rPr>
        <w:t xml:space="preserve">Współpraca przy realizacji badania </w:t>
      </w:r>
    </w:p>
    <w:p w14:paraId="1961746E" w14:textId="6ADD5DE9" w:rsidR="007E54BC" w:rsidRPr="00493D38" w:rsidRDefault="00D70C1E" w:rsidP="00A458AF">
      <w:pPr>
        <w:pStyle w:val="Akapitzlist"/>
        <w:numPr>
          <w:ilvl w:val="0"/>
          <w:numId w:val="23"/>
        </w:numPr>
        <w:spacing w:before="60"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</w:t>
      </w:r>
      <w:r w:rsidR="00A458AF" w:rsidRPr="00493D38">
        <w:rPr>
          <w:rFonts w:ascii="Times New Roman" w:hAnsi="Times New Roman" w:cs="Times New Roman"/>
          <w:sz w:val="24"/>
          <w:szCs w:val="24"/>
        </w:rPr>
        <w:t>e wniosku o dofinansowanie</w:t>
      </w:r>
      <w:r w:rsidRPr="00493D38">
        <w:rPr>
          <w:rFonts w:ascii="Times New Roman" w:hAnsi="Times New Roman" w:cs="Times New Roman"/>
          <w:sz w:val="24"/>
          <w:szCs w:val="24"/>
        </w:rPr>
        <w:t xml:space="preserve"> Wnioskodawca proponuje materiały</w:t>
      </w:r>
      <w:r w:rsidR="006502FE" w:rsidRPr="00493D38">
        <w:rPr>
          <w:rFonts w:ascii="Times New Roman" w:hAnsi="Times New Roman" w:cs="Times New Roman"/>
          <w:sz w:val="24"/>
          <w:szCs w:val="24"/>
        </w:rPr>
        <w:t>, które</w:t>
      </w:r>
      <w:r w:rsidRPr="00493D38">
        <w:rPr>
          <w:rFonts w:ascii="Times New Roman" w:hAnsi="Times New Roman" w:cs="Times New Roman"/>
          <w:sz w:val="24"/>
          <w:szCs w:val="24"/>
        </w:rPr>
        <w:t xml:space="preserve"> </w:t>
      </w:r>
      <w:r w:rsidR="006502FE" w:rsidRPr="00493D38">
        <w:rPr>
          <w:rFonts w:ascii="Times New Roman" w:hAnsi="Times New Roman" w:cs="Times New Roman"/>
          <w:sz w:val="24"/>
          <w:szCs w:val="24"/>
        </w:rPr>
        <w:t>podda</w:t>
      </w:r>
      <w:r w:rsidRPr="00493D38">
        <w:rPr>
          <w:rFonts w:ascii="Times New Roman" w:hAnsi="Times New Roman" w:cs="Times New Roman"/>
          <w:sz w:val="24"/>
          <w:szCs w:val="24"/>
        </w:rPr>
        <w:t xml:space="preserve"> analiz</w:t>
      </w:r>
      <w:r w:rsidR="006502FE" w:rsidRPr="00493D38">
        <w:rPr>
          <w:rFonts w:ascii="Times New Roman" w:hAnsi="Times New Roman" w:cs="Times New Roman"/>
          <w:sz w:val="24"/>
          <w:szCs w:val="24"/>
        </w:rPr>
        <w:t>ie</w:t>
      </w:r>
      <w:r w:rsidRPr="00493D38">
        <w:rPr>
          <w:rFonts w:ascii="Times New Roman" w:hAnsi="Times New Roman" w:cs="Times New Roman"/>
          <w:sz w:val="24"/>
          <w:szCs w:val="24"/>
        </w:rPr>
        <w:t xml:space="preserve">. W wypadku otrzymania dofinansowania Wnioskodawca </w:t>
      </w:r>
      <w:r w:rsidR="00293178" w:rsidRPr="00493D38">
        <w:rPr>
          <w:rFonts w:ascii="Times New Roman" w:hAnsi="Times New Roman" w:cs="Times New Roman"/>
          <w:sz w:val="24"/>
          <w:szCs w:val="24"/>
        </w:rPr>
        <w:t xml:space="preserve">ustala </w:t>
      </w:r>
      <w:r w:rsidRPr="00493D38">
        <w:rPr>
          <w:rFonts w:ascii="Times New Roman" w:hAnsi="Times New Roman" w:cs="Times New Roman"/>
          <w:sz w:val="24"/>
          <w:szCs w:val="24"/>
        </w:rPr>
        <w:t xml:space="preserve">z Departamentem ds. Programów PFRON </w:t>
      </w:r>
      <w:r w:rsidR="00293178" w:rsidRPr="00493D38">
        <w:rPr>
          <w:rFonts w:ascii="Times New Roman" w:hAnsi="Times New Roman" w:cs="Times New Roman"/>
          <w:sz w:val="24"/>
          <w:szCs w:val="24"/>
        </w:rPr>
        <w:t xml:space="preserve">ostateczną listę materiałów </w:t>
      </w:r>
      <w:r w:rsidRPr="00493D38">
        <w:rPr>
          <w:rFonts w:ascii="Times New Roman" w:hAnsi="Times New Roman" w:cs="Times New Roman"/>
          <w:sz w:val="24"/>
          <w:szCs w:val="24"/>
        </w:rPr>
        <w:t>przed podpisaniem umowy.</w:t>
      </w:r>
    </w:p>
    <w:p w14:paraId="4ABC63EC" w14:textId="590D2946" w:rsidR="00D70C1E" w:rsidRPr="00493D38" w:rsidRDefault="005D600A" w:rsidP="00A458AF">
      <w:pPr>
        <w:pStyle w:val="Akapitzlist"/>
        <w:numPr>
          <w:ilvl w:val="0"/>
          <w:numId w:val="23"/>
        </w:numPr>
        <w:spacing w:before="60"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Wnioskodawca, który otrzyma dofinansowanie na przeprowadzenie badania </w:t>
      </w:r>
      <w:r w:rsidR="00A458AF" w:rsidRPr="00493D38">
        <w:rPr>
          <w:rFonts w:ascii="Times New Roman" w:hAnsi="Times New Roman" w:cs="Times New Roman"/>
          <w:sz w:val="24"/>
          <w:szCs w:val="24"/>
        </w:rPr>
        <w:t xml:space="preserve">uzgodni </w:t>
      </w:r>
      <w:r w:rsidR="00B30AB4" w:rsidRPr="00493D38">
        <w:rPr>
          <w:rFonts w:ascii="Times New Roman" w:hAnsi="Times New Roman" w:cs="Times New Roman"/>
          <w:sz w:val="24"/>
          <w:szCs w:val="24"/>
        </w:rPr>
        <w:t xml:space="preserve">z Departamentem ds. Programów proces prowadzenia badania. W ramach konsultacji odbędą się co najmniej dwa spotkania pomiędzy zespołem realizującym badania/reprezentantami </w:t>
      </w:r>
      <w:r w:rsidR="006502FE" w:rsidRPr="00493D38">
        <w:rPr>
          <w:rFonts w:ascii="Times New Roman" w:hAnsi="Times New Roman" w:cs="Times New Roman"/>
          <w:sz w:val="24"/>
          <w:szCs w:val="24"/>
        </w:rPr>
        <w:t xml:space="preserve">zespołu </w:t>
      </w:r>
      <w:r w:rsidR="00B30AB4" w:rsidRPr="00493D38">
        <w:rPr>
          <w:rFonts w:ascii="Times New Roman" w:hAnsi="Times New Roman" w:cs="Times New Roman"/>
          <w:sz w:val="24"/>
          <w:szCs w:val="24"/>
        </w:rPr>
        <w:t>realizując</w:t>
      </w:r>
      <w:r w:rsidR="006502FE" w:rsidRPr="00493D38">
        <w:rPr>
          <w:rFonts w:ascii="Times New Roman" w:hAnsi="Times New Roman" w:cs="Times New Roman"/>
          <w:sz w:val="24"/>
          <w:szCs w:val="24"/>
        </w:rPr>
        <w:t>ego</w:t>
      </w:r>
      <w:r w:rsidR="00B30AB4" w:rsidRPr="00493D38">
        <w:rPr>
          <w:rFonts w:ascii="Times New Roman" w:hAnsi="Times New Roman" w:cs="Times New Roman"/>
          <w:sz w:val="24"/>
          <w:szCs w:val="24"/>
        </w:rPr>
        <w:t xml:space="preserve"> badanie a Departamentem ds. Programów PFRON:</w:t>
      </w:r>
    </w:p>
    <w:p w14:paraId="385224E9" w14:textId="385574FF" w:rsidR="00B30AB4" w:rsidRPr="00493D38" w:rsidRDefault="00293178" w:rsidP="00A458AF">
      <w:pPr>
        <w:pStyle w:val="Akapitzlist"/>
        <w:numPr>
          <w:ilvl w:val="0"/>
          <w:numId w:val="24"/>
        </w:numPr>
        <w:spacing w:before="60"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Pierwsze </w:t>
      </w:r>
      <w:r w:rsidR="00B30AB4" w:rsidRPr="00493D38">
        <w:rPr>
          <w:rFonts w:ascii="Times New Roman" w:hAnsi="Times New Roman" w:cs="Times New Roman"/>
          <w:sz w:val="24"/>
          <w:szCs w:val="24"/>
        </w:rPr>
        <w:t>spotkanie dotyczyć będzie omówienia metodologii badania i odbędzie się przed rozpoczęciem prac analitycznych,</w:t>
      </w:r>
    </w:p>
    <w:p w14:paraId="425EBFC2" w14:textId="77777777" w:rsidR="00B30AB4" w:rsidRPr="00493D38" w:rsidRDefault="00B30AB4" w:rsidP="00A458AF">
      <w:pPr>
        <w:pStyle w:val="Akapitzlist"/>
        <w:numPr>
          <w:ilvl w:val="0"/>
          <w:numId w:val="24"/>
        </w:numPr>
        <w:spacing w:before="60"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lastRenderedPageBreak/>
        <w:t xml:space="preserve">Drugie spotkanie odbędzie się </w:t>
      </w:r>
      <w:r w:rsidR="0026347D" w:rsidRPr="00493D38">
        <w:rPr>
          <w:rFonts w:ascii="Times New Roman" w:hAnsi="Times New Roman" w:cs="Times New Roman"/>
          <w:sz w:val="24"/>
          <w:szCs w:val="24"/>
        </w:rPr>
        <w:t xml:space="preserve">po zakończeniu prac </w:t>
      </w:r>
      <w:r w:rsidR="007B0F60" w:rsidRPr="00493D38">
        <w:rPr>
          <w:rFonts w:ascii="Times New Roman" w:hAnsi="Times New Roman" w:cs="Times New Roman"/>
          <w:sz w:val="24"/>
          <w:szCs w:val="24"/>
        </w:rPr>
        <w:t>analitycznych i będzie służyło omówieniu i skonsultowaniu wyników badania i przyszłego kształtu raportu,</w:t>
      </w:r>
    </w:p>
    <w:p w14:paraId="47EF4965" w14:textId="77777777" w:rsidR="007B0F60" w:rsidRPr="00493D38" w:rsidRDefault="007B0F60" w:rsidP="00A458AF">
      <w:pPr>
        <w:pStyle w:val="Akapitzlist"/>
        <w:numPr>
          <w:ilvl w:val="0"/>
          <w:numId w:val="24"/>
        </w:numPr>
        <w:spacing w:before="60"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Ewentualne trzecie spotkanie dotyczyć będzie omówienia raportu końcowego i działań upowszechniających wyniki badania. </w:t>
      </w:r>
    </w:p>
    <w:p w14:paraId="41DF9251" w14:textId="77777777" w:rsidR="00245120" w:rsidRPr="00493D38" w:rsidRDefault="00245120" w:rsidP="007B0F6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CF31C" w14:textId="1148A130" w:rsidR="00245120" w:rsidRPr="006A38DD" w:rsidRDefault="00245120" w:rsidP="006A38DD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DD">
        <w:rPr>
          <w:rFonts w:ascii="Times New Roman" w:hAnsi="Times New Roman" w:cs="Times New Roman"/>
          <w:b/>
          <w:sz w:val="24"/>
          <w:szCs w:val="24"/>
        </w:rPr>
        <w:t>Warunki zawierania, realizacji i rozliczania umów</w:t>
      </w:r>
    </w:p>
    <w:p w14:paraId="5B07502A" w14:textId="77777777" w:rsidR="00245120" w:rsidRPr="00493D38" w:rsidRDefault="00245120" w:rsidP="00A458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417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Wysokość przyznanego dofinansowania, sposób przekazania środków finansowych oraz termin i sposób ich rozliczenia określa umowa, zawarta pomiędzy PFRON a Wnioskodawcą.</w:t>
      </w:r>
    </w:p>
    <w:p w14:paraId="429B30AD" w14:textId="4243C669" w:rsidR="00245120" w:rsidRPr="00493D38" w:rsidRDefault="00245120" w:rsidP="00A458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417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Wzór umowy stanowi załącznik nr </w:t>
      </w:r>
      <w:r w:rsidR="00481624" w:rsidRPr="00493D38">
        <w:rPr>
          <w:rFonts w:ascii="Times New Roman" w:hAnsi="Times New Roman" w:cs="Times New Roman"/>
          <w:sz w:val="24"/>
          <w:szCs w:val="24"/>
        </w:rPr>
        <w:t>6</w:t>
      </w:r>
      <w:r w:rsidRPr="00493D38">
        <w:rPr>
          <w:rFonts w:ascii="Times New Roman" w:hAnsi="Times New Roman" w:cs="Times New Roman"/>
          <w:sz w:val="24"/>
          <w:szCs w:val="24"/>
        </w:rPr>
        <w:t xml:space="preserve"> do niniejszych zasad.</w:t>
      </w:r>
    </w:p>
    <w:p w14:paraId="56A73962" w14:textId="77777777" w:rsidR="00245120" w:rsidRPr="00493D38" w:rsidRDefault="00245120" w:rsidP="00A458AF">
      <w:pPr>
        <w:pStyle w:val="Akapitzlist"/>
        <w:numPr>
          <w:ilvl w:val="0"/>
          <w:numId w:val="25"/>
        </w:numPr>
        <w:spacing w:before="60" w:after="0" w:line="240" w:lineRule="auto"/>
        <w:ind w:left="1417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Wnioskodawcy, którzy złożyli do PFRON wniosek wspólny ponoszą odpowiedzialność solidarną za zobowiązania wynikające z umowy.</w:t>
      </w:r>
    </w:p>
    <w:p w14:paraId="68514AF4" w14:textId="77777777" w:rsidR="00245120" w:rsidRPr="00493D38" w:rsidRDefault="00245120" w:rsidP="00A458AF">
      <w:pPr>
        <w:pStyle w:val="Akapitzlist"/>
        <w:numPr>
          <w:ilvl w:val="0"/>
          <w:numId w:val="25"/>
        </w:numPr>
        <w:spacing w:before="60" w:after="0" w:line="240" w:lineRule="auto"/>
        <w:ind w:left="1417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PFRON wyznacza Wnioskodawcy (Wnioskodawcy-Liderowi) miejsce i termin podpisania umowy oraz informuje o wymaganych przy podpisywaniu umowy dokumentach.</w:t>
      </w:r>
    </w:p>
    <w:p w14:paraId="11B55121" w14:textId="77F76336" w:rsidR="00245120" w:rsidRPr="00493D38" w:rsidRDefault="00245120" w:rsidP="00A458AF">
      <w:pPr>
        <w:pStyle w:val="Akapitzlist"/>
        <w:numPr>
          <w:ilvl w:val="0"/>
          <w:numId w:val="25"/>
        </w:numPr>
        <w:spacing w:before="60" w:after="0" w:line="240" w:lineRule="auto"/>
        <w:ind w:left="1417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Wnioskodawca (Wnioskodawca-Lider) zobowiązany jest zgłosić bezzwłocznie do PFRON wszelkie informacje o zdarzeniach mogących mieć wpływ na wysokość przyznanego dofinansowania, a także poinformować PFRON o wszelkich zmianach dotyczących realizacji badania (np. w zakresie terminu realizacji badania) dokonanych przed dniem podpisania umowy</w:t>
      </w:r>
      <w:r w:rsidR="0050648A" w:rsidRPr="00493D38">
        <w:rPr>
          <w:rFonts w:ascii="Times New Roman" w:hAnsi="Times New Roman" w:cs="Times New Roman"/>
          <w:sz w:val="24"/>
          <w:szCs w:val="24"/>
        </w:rPr>
        <w:t xml:space="preserve"> i uzyskać na nie zgodę PFRON</w:t>
      </w:r>
      <w:r w:rsidRPr="00493D38">
        <w:rPr>
          <w:rFonts w:ascii="Times New Roman" w:hAnsi="Times New Roman" w:cs="Times New Roman"/>
          <w:sz w:val="24"/>
          <w:szCs w:val="24"/>
        </w:rPr>
        <w:t>.</w:t>
      </w:r>
    </w:p>
    <w:p w14:paraId="73F61456" w14:textId="77777777" w:rsidR="00245120" w:rsidRPr="00493D38" w:rsidRDefault="00245120" w:rsidP="00A458AF">
      <w:pPr>
        <w:pStyle w:val="Akapitzlist"/>
        <w:numPr>
          <w:ilvl w:val="0"/>
          <w:numId w:val="25"/>
        </w:numPr>
        <w:spacing w:before="60" w:after="0" w:line="240" w:lineRule="auto"/>
        <w:ind w:left="1417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Przed zawarciem umowy Wnioskodawca (każdy z Wnioskodawców) zobowiązany jest przedłożyć do PFRON oryginał lub kserokopię (poświadczoną za zgodność z oryginałem przez osoby upoważnione do reprezentowania Wnioskodawcy, wraz z datą poświadczenia):</w:t>
      </w:r>
    </w:p>
    <w:p w14:paraId="42770DAB" w14:textId="77777777" w:rsidR="00245120" w:rsidRPr="00493D38" w:rsidRDefault="00245120" w:rsidP="00FA5B76">
      <w:pPr>
        <w:pStyle w:val="Akapitzlist"/>
        <w:numPr>
          <w:ilvl w:val="0"/>
          <w:numId w:val="17"/>
        </w:numPr>
        <w:spacing w:before="60" w:after="0" w:line="240" w:lineRule="auto"/>
        <w:ind w:left="1843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ZUS o nieposiadaniu wymagalnych zobowiązań, wydanego nie wcześniej niż 3 miesiące przed dniem podpisania umowy,</w:t>
      </w:r>
    </w:p>
    <w:p w14:paraId="6C543EA6" w14:textId="77777777" w:rsidR="00245120" w:rsidRPr="00493D38" w:rsidRDefault="00245120" w:rsidP="00FA5B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1843" w:hanging="3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Urzędu Skarbowego o niezaleganiu z podatkami, wydanego nie wcześniej niż 3 miesiące przed dniem podpisania umowy,</w:t>
      </w:r>
    </w:p>
    <w:p w14:paraId="76F444DC" w14:textId="77777777" w:rsidR="00245120" w:rsidRPr="00493D38" w:rsidRDefault="00245120" w:rsidP="00FA5B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1843" w:hanging="3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 z PFRON w ramach umowy.</w:t>
      </w:r>
    </w:p>
    <w:p w14:paraId="1402B51E" w14:textId="1108EAF3" w:rsidR="00296038" w:rsidRPr="006A38DD" w:rsidRDefault="00296038" w:rsidP="006A38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dofinansowanie stanowi załącznik do umowy o dofinansowanie. </w:t>
      </w:r>
    </w:p>
    <w:p w14:paraId="46EB09DA" w14:textId="77777777" w:rsidR="00296038" w:rsidRPr="00493D38" w:rsidRDefault="00296038" w:rsidP="00296038">
      <w:pPr>
        <w:pStyle w:val="Akapitzlist"/>
        <w:autoSpaceDE w:val="0"/>
        <w:autoSpaceDN w:val="0"/>
        <w:adjustRightInd w:val="0"/>
        <w:spacing w:before="6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D4C0" w14:textId="52110556" w:rsidR="00296038" w:rsidRPr="006A38DD" w:rsidRDefault="00296038" w:rsidP="006A38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oceny sprawozdań końcowych </w:t>
      </w:r>
    </w:p>
    <w:p w14:paraId="291F9A73" w14:textId="66528401" w:rsidR="00296038" w:rsidRPr="00493D38" w:rsidRDefault="00296038" w:rsidP="00A458AF">
      <w:pPr>
        <w:pStyle w:val="Akapitzlist"/>
        <w:numPr>
          <w:ilvl w:val="0"/>
          <w:numId w:val="33"/>
        </w:numPr>
        <w:spacing w:before="60" w:after="0" w:line="240" w:lineRule="auto"/>
        <w:ind w:left="1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 realizacji badania składane jest sprawozdanie końcowe, które podlega ocenie formalnej, a następnie ocenie finansowej i merytorycznej.</w:t>
      </w:r>
    </w:p>
    <w:p w14:paraId="069F1300" w14:textId="09AB36D7" w:rsidR="00C75244" w:rsidRPr="00493D38" w:rsidRDefault="00C75244" w:rsidP="00A458AF">
      <w:pPr>
        <w:pStyle w:val="Akapitzlist"/>
        <w:numPr>
          <w:ilvl w:val="0"/>
          <w:numId w:val="33"/>
        </w:numPr>
        <w:spacing w:before="60" w:after="0" w:line="240" w:lineRule="auto"/>
        <w:ind w:left="1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Wnioskodawca przygotuje </w:t>
      </w:r>
      <w:r w:rsidR="00234079" w:rsidRPr="00493D38">
        <w:rPr>
          <w:rFonts w:ascii="Times New Roman" w:hAnsi="Times New Roman" w:cs="Times New Roman"/>
          <w:sz w:val="24"/>
          <w:szCs w:val="24"/>
        </w:rPr>
        <w:t xml:space="preserve">i wygłosi </w:t>
      </w:r>
      <w:r w:rsidRPr="00493D38">
        <w:rPr>
          <w:rFonts w:ascii="Times New Roman" w:hAnsi="Times New Roman" w:cs="Times New Roman"/>
          <w:sz w:val="24"/>
          <w:szCs w:val="24"/>
        </w:rPr>
        <w:t>prezentację omawiającą wyniki badania dla Zarządu PFRON oraz Departamentu ds. Programów PFRON.</w:t>
      </w:r>
    </w:p>
    <w:p w14:paraId="3C74F94E" w14:textId="77777777" w:rsidR="00296038" w:rsidRPr="00493D38" w:rsidRDefault="00296038" w:rsidP="00A458AF">
      <w:pPr>
        <w:pStyle w:val="Akapitzlist"/>
        <w:numPr>
          <w:ilvl w:val="0"/>
          <w:numId w:val="33"/>
        </w:numPr>
        <w:spacing w:before="60" w:after="0" w:line="240" w:lineRule="auto"/>
        <w:ind w:left="1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Oceny formalnej i finansowej raportów końcowych dokonuje Departament ds. Programów PFRON.</w:t>
      </w:r>
    </w:p>
    <w:p w14:paraId="6E8D02C5" w14:textId="4CA4D798" w:rsidR="00296038" w:rsidRPr="00493D38" w:rsidRDefault="00296038" w:rsidP="00A458AF">
      <w:pPr>
        <w:pStyle w:val="Akapitzlist"/>
        <w:numPr>
          <w:ilvl w:val="0"/>
          <w:numId w:val="33"/>
        </w:numPr>
        <w:spacing w:before="60" w:after="0" w:line="240" w:lineRule="auto"/>
        <w:ind w:left="1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lastRenderedPageBreak/>
        <w:t>Ocena finansowa raportów końcowych obejmuje ocenę prawidłowości wydatkowania przyznanych środków finansowych, w tym wykorzystani</w:t>
      </w:r>
      <w:r w:rsidR="00293178" w:rsidRPr="00493D38">
        <w:rPr>
          <w:rFonts w:ascii="Times New Roman" w:hAnsi="Times New Roman" w:cs="Times New Roman"/>
          <w:sz w:val="24"/>
          <w:szCs w:val="24"/>
        </w:rPr>
        <w:t>a</w:t>
      </w:r>
      <w:r w:rsidRPr="00493D38">
        <w:rPr>
          <w:rFonts w:ascii="Times New Roman" w:hAnsi="Times New Roman" w:cs="Times New Roman"/>
          <w:sz w:val="24"/>
          <w:szCs w:val="24"/>
        </w:rPr>
        <w:t xml:space="preserve"> środków zgodnie z przeznaczeniem.</w:t>
      </w:r>
    </w:p>
    <w:p w14:paraId="32B02CD0" w14:textId="7E23BF75" w:rsidR="00296038" w:rsidRPr="00493D38" w:rsidRDefault="00296038" w:rsidP="00A458AF">
      <w:pPr>
        <w:pStyle w:val="Akapitzlist"/>
        <w:numPr>
          <w:ilvl w:val="0"/>
          <w:numId w:val="33"/>
        </w:numPr>
        <w:spacing w:before="60" w:after="0" w:line="240" w:lineRule="auto"/>
        <w:ind w:left="1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Oceny merytorycznej raportów końcowych dokonuje ekspert lub ekspertka zewnętrzna lub pracownik/pracowniczka Departamentu ds. Programów PFRON. </w:t>
      </w:r>
    </w:p>
    <w:p w14:paraId="3C74F4FF" w14:textId="54B04CD6" w:rsidR="00CB780E" w:rsidRPr="00493D38" w:rsidRDefault="00CB780E" w:rsidP="00A458AF">
      <w:pPr>
        <w:pStyle w:val="Akapitzlist"/>
        <w:numPr>
          <w:ilvl w:val="0"/>
          <w:numId w:val="33"/>
        </w:numPr>
        <w:spacing w:before="60" w:after="0" w:line="240" w:lineRule="auto"/>
        <w:ind w:left="1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Ra</w:t>
      </w:r>
      <w:r w:rsidR="00955558" w:rsidRPr="00493D38">
        <w:rPr>
          <w:rFonts w:ascii="Times New Roman" w:hAnsi="Times New Roman" w:cs="Times New Roman"/>
          <w:sz w:val="24"/>
          <w:szCs w:val="24"/>
        </w:rPr>
        <w:t xml:space="preserve">port końcowy z badania musi być sporządzony zgodnie z normami dostępności dla osób niepełnosprawnych określonych w zasadach WCAG 2.0. </w:t>
      </w:r>
    </w:p>
    <w:p w14:paraId="2BB3FB1C" w14:textId="77777777" w:rsidR="00296038" w:rsidRPr="00493D38" w:rsidRDefault="00296038" w:rsidP="00A458AF">
      <w:pPr>
        <w:pStyle w:val="Akapitzlist"/>
        <w:numPr>
          <w:ilvl w:val="0"/>
          <w:numId w:val="33"/>
        </w:numPr>
        <w:spacing w:before="60" w:after="0" w:line="240" w:lineRule="auto"/>
        <w:ind w:left="1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 trakcie oceny merytorycznej raportów końcowych uwzględnia się:</w:t>
      </w:r>
    </w:p>
    <w:p w14:paraId="32B528F4" w14:textId="77777777" w:rsidR="00296038" w:rsidRPr="00493D38" w:rsidRDefault="00296038" w:rsidP="006A38DD">
      <w:pPr>
        <w:pStyle w:val="Akapitzlist"/>
        <w:numPr>
          <w:ilvl w:val="0"/>
          <w:numId w:val="47"/>
        </w:numPr>
        <w:spacing w:before="60" w:after="0"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zgodność zakresu wykonanych zadań z umową,</w:t>
      </w:r>
    </w:p>
    <w:p w14:paraId="6AF0F2ED" w14:textId="77777777" w:rsidR="00296038" w:rsidRPr="00493D38" w:rsidRDefault="00296038" w:rsidP="006A38DD">
      <w:pPr>
        <w:pStyle w:val="Akapitzlist"/>
        <w:numPr>
          <w:ilvl w:val="0"/>
          <w:numId w:val="47"/>
        </w:numPr>
        <w:spacing w:before="60" w:after="0"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ocenę realizacji badania i sporządzonego na jego podstawie raportu,</w:t>
      </w:r>
    </w:p>
    <w:p w14:paraId="38A46995" w14:textId="77777777" w:rsidR="00296038" w:rsidRPr="00493D38" w:rsidRDefault="00296038" w:rsidP="006A38DD">
      <w:pPr>
        <w:pStyle w:val="Akapitzlist"/>
        <w:numPr>
          <w:ilvl w:val="0"/>
          <w:numId w:val="47"/>
        </w:numPr>
        <w:spacing w:before="60" w:after="0"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ocenę realizacji działań popularyzatorskich,</w:t>
      </w:r>
    </w:p>
    <w:p w14:paraId="167339CB" w14:textId="77777777" w:rsidR="00296038" w:rsidRPr="00493D38" w:rsidRDefault="00296038" w:rsidP="006A38DD">
      <w:pPr>
        <w:pStyle w:val="Akapitzlist"/>
        <w:numPr>
          <w:ilvl w:val="0"/>
          <w:numId w:val="47"/>
        </w:numPr>
        <w:spacing w:before="60" w:after="0"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ocenę zasadności wydatkowania środków.</w:t>
      </w:r>
    </w:p>
    <w:p w14:paraId="5D7CF138" w14:textId="6AEFBC48" w:rsidR="00296038" w:rsidRPr="00493D38" w:rsidRDefault="00296038" w:rsidP="00A458AF">
      <w:pPr>
        <w:pStyle w:val="Akapitzlist"/>
        <w:numPr>
          <w:ilvl w:val="0"/>
          <w:numId w:val="33"/>
        </w:numPr>
        <w:spacing w:before="60" w:after="0" w:line="240" w:lineRule="auto"/>
        <w:ind w:left="1470" w:hanging="3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Rozliczenie badania dokonywane jest na podstawie zasad określonych w umowie. </w:t>
      </w:r>
    </w:p>
    <w:p w14:paraId="1D3ECE55" w14:textId="0A16FCBD" w:rsidR="00296038" w:rsidRPr="00493D38" w:rsidRDefault="00296038" w:rsidP="00A458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1470" w:hanging="3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Warunkiem końcowego rozliczenia badania jest pozytywna ocena eksperta/ekspertki zewnętrznego lub eksperta/ekspertki PFRON.</w:t>
      </w:r>
    </w:p>
    <w:p w14:paraId="0D7E5651" w14:textId="2EEA8566" w:rsidR="00296038" w:rsidRPr="00493D38" w:rsidRDefault="00296038" w:rsidP="00A458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1470" w:hanging="3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W przypadku gdy stwierdzi się, że Wnioskodawca zrealizował badanie w ramach konkursu niezgodnie z zapisami umowy, Wnioskodawca zostaje pozbawiony prawa do złożenia wniosku o dofinansowanie badań ze środków PFRON w kolejnych konkursach przez okres 3 lat.</w:t>
      </w:r>
    </w:p>
    <w:p w14:paraId="42C2272F" w14:textId="77777777" w:rsidR="00296038" w:rsidRPr="00493D38" w:rsidRDefault="00296038" w:rsidP="00293178">
      <w:pPr>
        <w:pStyle w:val="Akapitzlist"/>
        <w:autoSpaceDE w:val="0"/>
        <w:autoSpaceDN w:val="0"/>
        <w:adjustRightInd w:val="0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661409" w14:textId="667F91EC" w:rsidR="00296038" w:rsidRPr="006A38DD" w:rsidRDefault="00296038" w:rsidP="006A38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D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94BB670" w14:textId="763FA939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Załącznik nr 1 – Opis modułów</w:t>
      </w:r>
    </w:p>
    <w:p w14:paraId="034BF42F" w14:textId="37538756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Załącznik nr 2 –</w:t>
      </w:r>
      <w:r w:rsidR="00AD1B0F" w:rsidRPr="00493D38">
        <w:rPr>
          <w:rFonts w:ascii="Times New Roman" w:hAnsi="Times New Roman" w:cs="Times New Roman"/>
          <w:sz w:val="24"/>
          <w:szCs w:val="24"/>
        </w:rPr>
        <w:t xml:space="preserve"> Przewodnik kwalifikowalności kosztów </w:t>
      </w:r>
    </w:p>
    <w:p w14:paraId="3F931F07" w14:textId="68EAFBA4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Załącznik nr 3 – Wniosek o dofinansowanie badań</w:t>
      </w:r>
    </w:p>
    <w:p w14:paraId="19C4B6F2" w14:textId="07935B31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Załącznik nr 4 –</w:t>
      </w:r>
      <w:r w:rsidR="00657ADE" w:rsidRPr="00493D38">
        <w:rPr>
          <w:rFonts w:ascii="Times New Roman" w:hAnsi="Times New Roman" w:cs="Times New Roman"/>
          <w:sz w:val="24"/>
          <w:szCs w:val="24"/>
        </w:rPr>
        <w:t xml:space="preserve"> Karta oceny merytorycznej</w:t>
      </w:r>
    </w:p>
    <w:p w14:paraId="5CA00D0B" w14:textId="24A48DF4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Załącznik nr 5 – </w:t>
      </w:r>
      <w:r w:rsidR="00BB7D2F" w:rsidRPr="00493D38">
        <w:rPr>
          <w:rFonts w:ascii="Times New Roman" w:hAnsi="Times New Roman" w:cs="Times New Roman"/>
          <w:sz w:val="24"/>
          <w:szCs w:val="24"/>
        </w:rPr>
        <w:t>B</w:t>
      </w:r>
      <w:r w:rsidR="00657ADE" w:rsidRPr="00493D38">
        <w:rPr>
          <w:rFonts w:ascii="Times New Roman" w:hAnsi="Times New Roman" w:cs="Times New Roman"/>
          <w:sz w:val="24"/>
          <w:szCs w:val="24"/>
        </w:rPr>
        <w:t>udżet</w:t>
      </w:r>
      <w:r w:rsidR="00BB7D2F" w:rsidRPr="00493D38">
        <w:rPr>
          <w:rFonts w:ascii="Times New Roman" w:hAnsi="Times New Roman" w:cs="Times New Roman"/>
          <w:sz w:val="24"/>
          <w:szCs w:val="24"/>
        </w:rPr>
        <w:t xml:space="preserve"> projektu</w:t>
      </w:r>
    </w:p>
    <w:p w14:paraId="727FB553" w14:textId="52C4B195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Załącznik nr 6 –</w:t>
      </w:r>
      <w:r w:rsidR="00657ADE" w:rsidRPr="00493D38">
        <w:rPr>
          <w:rFonts w:ascii="Times New Roman" w:hAnsi="Times New Roman" w:cs="Times New Roman"/>
          <w:sz w:val="24"/>
          <w:szCs w:val="24"/>
        </w:rPr>
        <w:t xml:space="preserve"> Wzór umowy </w:t>
      </w:r>
    </w:p>
    <w:p w14:paraId="1265BC20" w14:textId="7567F057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Załącznik nr 7 –</w:t>
      </w:r>
      <w:r w:rsidR="00BB7D2F" w:rsidRPr="00493D38">
        <w:rPr>
          <w:rFonts w:ascii="Times New Roman" w:hAnsi="Times New Roman" w:cs="Times New Roman"/>
          <w:sz w:val="24"/>
          <w:szCs w:val="24"/>
        </w:rPr>
        <w:t xml:space="preserve"> Sprawozdanie końcowe </w:t>
      </w:r>
    </w:p>
    <w:p w14:paraId="7BEC4D99" w14:textId="662DE9ED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>Załącznik nr 8 –</w:t>
      </w:r>
      <w:r w:rsidR="00BB7D2F" w:rsidRPr="00493D38">
        <w:rPr>
          <w:rFonts w:ascii="Times New Roman" w:hAnsi="Times New Roman" w:cs="Times New Roman"/>
          <w:sz w:val="24"/>
          <w:szCs w:val="24"/>
        </w:rPr>
        <w:t xml:space="preserve"> Zestawienie kosztów </w:t>
      </w:r>
    </w:p>
    <w:p w14:paraId="1DA8B743" w14:textId="66E3402A" w:rsidR="001473C9" w:rsidRPr="00493D38" w:rsidRDefault="001473C9" w:rsidP="006A38DD">
      <w:pPr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93D38">
        <w:rPr>
          <w:rFonts w:ascii="Times New Roman" w:hAnsi="Times New Roman" w:cs="Times New Roman"/>
          <w:sz w:val="24"/>
          <w:szCs w:val="24"/>
        </w:rPr>
        <w:t xml:space="preserve">Załącznik nr 9 </w:t>
      </w:r>
      <w:r w:rsidR="00AD1B0F" w:rsidRPr="00493D38">
        <w:rPr>
          <w:rFonts w:ascii="Times New Roman" w:hAnsi="Times New Roman" w:cs="Times New Roman"/>
          <w:sz w:val="24"/>
          <w:szCs w:val="24"/>
        </w:rPr>
        <w:t xml:space="preserve">– Stawki ekspertów zewnętrznych </w:t>
      </w:r>
    </w:p>
    <w:p w14:paraId="401B6E91" w14:textId="77777777" w:rsidR="00296038" w:rsidRPr="00493D38" w:rsidRDefault="00296038" w:rsidP="0029603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6038" w:rsidRPr="00493D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2F85" w14:textId="77777777" w:rsidR="002B0502" w:rsidRDefault="002B0502" w:rsidP="002B0502">
      <w:pPr>
        <w:spacing w:after="0" w:line="240" w:lineRule="auto"/>
      </w:pPr>
      <w:r>
        <w:separator/>
      </w:r>
    </w:p>
  </w:endnote>
  <w:endnote w:type="continuationSeparator" w:id="0">
    <w:p w14:paraId="6EB2A9DD" w14:textId="77777777" w:rsidR="002B0502" w:rsidRDefault="002B0502" w:rsidP="002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CC8C" w14:textId="45DF3A9F" w:rsidR="00493D38" w:rsidRDefault="00493D38">
    <w:pPr>
      <w:pStyle w:val="Stopka"/>
    </w:pPr>
  </w:p>
  <w:p w14:paraId="61B463BC" w14:textId="77777777" w:rsidR="008C6E88" w:rsidRDefault="008C6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BEB3" w14:textId="77777777" w:rsidR="002B0502" w:rsidRDefault="002B0502" w:rsidP="002B0502">
      <w:pPr>
        <w:spacing w:after="0" w:line="240" w:lineRule="auto"/>
      </w:pPr>
      <w:r>
        <w:separator/>
      </w:r>
    </w:p>
  </w:footnote>
  <w:footnote w:type="continuationSeparator" w:id="0">
    <w:p w14:paraId="3707CFC9" w14:textId="77777777" w:rsidR="002B0502" w:rsidRDefault="002B0502" w:rsidP="002B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13E"/>
    <w:multiLevelType w:val="hybridMultilevel"/>
    <w:tmpl w:val="B85C43F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5CE4"/>
    <w:multiLevelType w:val="hybridMultilevel"/>
    <w:tmpl w:val="C7CC71E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E2E3FB6"/>
    <w:multiLevelType w:val="hybridMultilevel"/>
    <w:tmpl w:val="AE381BD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B52D1"/>
    <w:multiLevelType w:val="hybridMultilevel"/>
    <w:tmpl w:val="C90EBB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D7824"/>
    <w:multiLevelType w:val="hybridMultilevel"/>
    <w:tmpl w:val="9AF05FB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47446"/>
    <w:multiLevelType w:val="hybridMultilevel"/>
    <w:tmpl w:val="3B26789A"/>
    <w:lvl w:ilvl="0" w:tplc="4CB896C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06144D"/>
    <w:multiLevelType w:val="hybridMultilevel"/>
    <w:tmpl w:val="09740182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DB0D23"/>
    <w:multiLevelType w:val="hybridMultilevel"/>
    <w:tmpl w:val="342CC4FA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F5828EE"/>
    <w:multiLevelType w:val="hybridMultilevel"/>
    <w:tmpl w:val="E7B8443A"/>
    <w:lvl w:ilvl="0" w:tplc="1A06A19A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20575EE8"/>
    <w:multiLevelType w:val="hybridMultilevel"/>
    <w:tmpl w:val="8A66F1C4"/>
    <w:lvl w:ilvl="0" w:tplc="4CB89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AE77E2"/>
    <w:multiLevelType w:val="hybridMultilevel"/>
    <w:tmpl w:val="D2EEAA36"/>
    <w:lvl w:ilvl="0" w:tplc="4CB89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044172"/>
    <w:multiLevelType w:val="hybridMultilevel"/>
    <w:tmpl w:val="FAB0E848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161ACB"/>
    <w:multiLevelType w:val="hybridMultilevel"/>
    <w:tmpl w:val="1ACC77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363F04"/>
    <w:multiLevelType w:val="hybridMultilevel"/>
    <w:tmpl w:val="9446BBE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D517A5"/>
    <w:multiLevelType w:val="hybridMultilevel"/>
    <w:tmpl w:val="6DAE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FAA73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330D"/>
    <w:multiLevelType w:val="hybridMultilevel"/>
    <w:tmpl w:val="127EE5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E4614E"/>
    <w:multiLevelType w:val="hybridMultilevel"/>
    <w:tmpl w:val="085ACDB2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7" w15:restartNumberingAfterBreak="0">
    <w:nsid w:val="2954433E"/>
    <w:multiLevelType w:val="hybridMultilevel"/>
    <w:tmpl w:val="CD68B8A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BE6622A"/>
    <w:multiLevelType w:val="hybridMultilevel"/>
    <w:tmpl w:val="55DA0354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0032356"/>
    <w:multiLevelType w:val="hybridMultilevel"/>
    <w:tmpl w:val="DF46017A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A15429"/>
    <w:multiLevelType w:val="hybridMultilevel"/>
    <w:tmpl w:val="F05210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A66A9"/>
    <w:multiLevelType w:val="hybridMultilevel"/>
    <w:tmpl w:val="4CE8C1E2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603087"/>
    <w:multiLevelType w:val="hybridMultilevel"/>
    <w:tmpl w:val="F4E8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3313"/>
    <w:multiLevelType w:val="hybridMultilevel"/>
    <w:tmpl w:val="2418F4F0"/>
    <w:lvl w:ilvl="0" w:tplc="CAD847E0">
      <w:start w:val="1"/>
      <w:numFmt w:val="bullet"/>
      <w:lvlText w:val=""/>
      <w:lvlJc w:val="left"/>
      <w:pPr>
        <w:ind w:left="2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4" w15:restartNumberingAfterBreak="0">
    <w:nsid w:val="371C5D35"/>
    <w:multiLevelType w:val="hybridMultilevel"/>
    <w:tmpl w:val="2C82E84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37E91731"/>
    <w:multiLevelType w:val="hybridMultilevel"/>
    <w:tmpl w:val="EE6E912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C9F536E"/>
    <w:multiLevelType w:val="hybridMultilevel"/>
    <w:tmpl w:val="CA140B2A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FD75FC5"/>
    <w:multiLevelType w:val="hybridMultilevel"/>
    <w:tmpl w:val="9E5CD892"/>
    <w:lvl w:ilvl="0" w:tplc="E98E9C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482A1B"/>
    <w:multiLevelType w:val="hybridMultilevel"/>
    <w:tmpl w:val="2EB8BFE6"/>
    <w:lvl w:ilvl="0" w:tplc="67243F1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28038B"/>
    <w:multiLevelType w:val="hybridMultilevel"/>
    <w:tmpl w:val="4D4E0AB2"/>
    <w:lvl w:ilvl="0" w:tplc="CAD847E0">
      <w:start w:val="1"/>
      <w:numFmt w:val="bullet"/>
      <w:lvlText w:val=""/>
      <w:lvlJc w:val="left"/>
      <w:pPr>
        <w:ind w:left="2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30" w15:restartNumberingAfterBreak="0">
    <w:nsid w:val="4AC53B6D"/>
    <w:multiLevelType w:val="hybridMultilevel"/>
    <w:tmpl w:val="E730C10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4FFE7FB3"/>
    <w:multiLevelType w:val="hybridMultilevel"/>
    <w:tmpl w:val="F3406950"/>
    <w:lvl w:ilvl="0" w:tplc="BB1E1BE2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15F6BBA"/>
    <w:multiLevelType w:val="hybridMultilevel"/>
    <w:tmpl w:val="0080AB3C"/>
    <w:lvl w:ilvl="0" w:tplc="04150019">
      <w:start w:val="1"/>
      <w:numFmt w:val="lowerLetter"/>
      <w:lvlText w:val="%1.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3" w15:restartNumberingAfterBreak="0">
    <w:nsid w:val="587C582E"/>
    <w:multiLevelType w:val="hybridMultilevel"/>
    <w:tmpl w:val="3A6A505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04624EB"/>
    <w:multiLevelType w:val="hybridMultilevel"/>
    <w:tmpl w:val="3F983B70"/>
    <w:lvl w:ilvl="0" w:tplc="4CB896C2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5" w15:restartNumberingAfterBreak="0">
    <w:nsid w:val="60F85B72"/>
    <w:multiLevelType w:val="hybridMultilevel"/>
    <w:tmpl w:val="90CC6B58"/>
    <w:lvl w:ilvl="0" w:tplc="6B16A2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F413A3"/>
    <w:multiLevelType w:val="hybridMultilevel"/>
    <w:tmpl w:val="00D2F0D8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790F98"/>
    <w:multiLevelType w:val="hybridMultilevel"/>
    <w:tmpl w:val="B8E4AFC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7D28D4"/>
    <w:multiLevelType w:val="hybridMultilevel"/>
    <w:tmpl w:val="0188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1530B"/>
    <w:multiLevelType w:val="hybridMultilevel"/>
    <w:tmpl w:val="49049AB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0AF34CF"/>
    <w:multiLevelType w:val="hybridMultilevel"/>
    <w:tmpl w:val="51F0CEB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DE6B10"/>
    <w:multiLevelType w:val="hybridMultilevel"/>
    <w:tmpl w:val="D45081F8"/>
    <w:lvl w:ilvl="0" w:tplc="9BA0D3D2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5D6A03"/>
    <w:multiLevelType w:val="multilevel"/>
    <w:tmpl w:val="FA229F9E"/>
    <w:styleLink w:val="Styl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8705B4"/>
    <w:multiLevelType w:val="hybridMultilevel"/>
    <w:tmpl w:val="F6C227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BA5FE6"/>
    <w:multiLevelType w:val="hybridMultilevel"/>
    <w:tmpl w:val="96CC9296"/>
    <w:lvl w:ilvl="0" w:tplc="4CB89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375EC7"/>
    <w:multiLevelType w:val="hybridMultilevel"/>
    <w:tmpl w:val="7D84C8D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7AF155C6"/>
    <w:multiLevelType w:val="hybridMultilevel"/>
    <w:tmpl w:val="B73891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1A6707"/>
    <w:multiLevelType w:val="hybridMultilevel"/>
    <w:tmpl w:val="7FBAA7D4"/>
    <w:lvl w:ilvl="0" w:tplc="864475B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47"/>
  </w:num>
  <w:num w:numId="7">
    <w:abstractNumId w:val="35"/>
  </w:num>
  <w:num w:numId="8">
    <w:abstractNumId w:val="12"/>
  </w:num>
  <w:num w:numId="9">
    <w:abstractNumId w:val="44"/>
  </w:num>
  <w:num w:numId="10">
    <w:abstractNumId w:val="34"/>
  </w:num>
  <w:num w:numId="11">
    <w:abstractNumId w:val="15"/>
  </w:num>
  <w:num w:numId="12">
    <w:abstractNumId w:val="6"/>
  </w:num>
  <w:num w:numId="13">
    <w:abstractNumId w:val="11"/>
  </w:num>
  <w:num w:numId="14">
    <w:abstractNumId w:val="19"/>
  </w:num>
  <w:num w:numId="15">
    <w:abstractNumId w:val="21"/>
  </w:num>
  <w:num w:numId="16">
    <w:abstractNumId w:val="42"/>
  </w:num>
  <w:num w:numId="17">
    <w:abstractNumId w:val="36"/>
  </w:num>
  <w:num w:numId="18">
    <w:abstractNumId w:val="18"/>
  </w:num>
  <w:num w:numId="19">
    <w:abstractNumId w:val="26"/>
  </w:num>
  <w:num w:numId="20">
    <w:abstractNumId w:val="22"/>
  </w:num>
  <w:num w:numId="21">
    <w:abstractNumId w:val="38"/>
  </w:num>
  <w:num w:numId="22">
    <w:abstractNumId w:val="28"/>
  </w:num>
  <w:num w:numId="23">
    <w:abstractNumId w:val="31"/>
  </w:num>
  <w:num w:numId="24">
    <w:abstractNumId w:val="8"/>
  </w:num>
  <w:num w:numId="25">
    <w:abstractNumId w:val="2"/>
  </w:num>
  <w:num w:numId="26">
    <w:abstractNumId w:val="37"/>
  </w:num>
  <w:num w:numId="27">
    <w:abstractNumId w:val="39"/>
  </w:num>
  <w:num w:numId="28">
    <w:abstractNumId w:val="1"/>
  </w:num>
  <w:num w:numId="29">
    <w:abstractNumId w:val="7"/>
  </w:num>
  <w:num w:numId="30">
    <w:abstractNumId w:val="30"/>
  </w:num>
  <w:num w:numId="31">
    <w:abstractNumId w:val="33"/>
  </w:num>
  <w:num w:numId="32">
    <w:abstractNumId w:val="17"/>
  </w:num>
  <w:num w:numId="33">
    <w:abstractNumId w:val="41"/>
  </w:num>
  <w:num w:numId="34">
    <w:abstractNumId w:val="0"/>
  </w:num>
  <w:num w:numId="35">
    <w:abstractNumId w:val="45"/>
  </w:num>
  <w:num w:numId="36">
    <w:abstractNumId w:val="40"/>
  </w:num>
  <w:num w:numId="37">
    <w:abstractNumId w:val="25"/>
  </w:num>
  <w:num w:numId="38">
    <w:abstractNumId w:val="24"/>
  </w:num>
  <w:num w:numId="39">
    <w:abstractNumId w:val="27"/>
  </w:num>
  <w:num w:numId="40">
    <w:abstractNumId w:val="13"/>
  </w:num>
  <w:num w:numId="41">
    <w:abstractNumId w:val="23"/>
  </w:num>
  <w:num w:numId="42">
    <w:abstractNumId w:val="4"/>
  </w:num>
  <w:num w:numId="43">
    <w:abstractNumId w:val="43"/>
  </w:num>
  <w:num w:numId="44">
    <w:abstractNumId w:val="20"/>
  </w:num>
  <w:num w:numId="45">
    <w:abstractNumId w:val="32"/>
  </w:num>
  <w:num w:numId="46">
    <w:abstractNumId w:val="46"/>
  </w:num>
  <w:num w:numId="47">
    <w:abstractNumId w:val="29"/>
  </w:num>
  <w:num w:numId="4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93"/>
    <w:rsid w:val="000062C5"/>
    <w:rsid w:val="00082D56"/>
    <w:rsid w:val="00090393"/>
    <w:rsid w:val="00111561"/>
    <w:rsid w:val="001229BF"/>
    <w:rsid w:val="00135B07"/>
    <w:rsid w:val="001473C9"/>
    <w:rsid w:val="00156FC6"/>
    <w:rsid w:val="0016483C"/>
    <w:rsid w:val="00176B72"/>
    <w:rsid w:val="001A4231"/>
    <w:rsid w:val="001A4659"/>
    <w:rsid w:val="00226004"/>
    <w:rsid w:val="00234079"/>
    <w:rsid w:val="00245120"/>
    <w:rsid w:val="0026347D"/>
    <w:rsid w:val="0029002B"/>
    <w:rsid w:val="00293178"/>
    <w:rsid w:val="00296038"/>
    <w:rsid w:val="002B0502"/>
    <w:rsid w:val="003350BC"/>
    <w:rsid w:val="00353AC3"/>
    <w:rsid w:val="003A077C"/>
    <w:rsid w:val="003E7438"/>
    <w:rsid w:val="00426E93"/>
    <w:rsid w:val="00481624"/>
    <w:rsid w:val="00491B41"/>
    <w:rsid w:val="00493D38"/>
    <w:rsid w:val="004C1345"/>
    <w:rsid w:val="0050648A"/>
    <w:rsid w:val="005D1F49"/>
    <w:rsid w:val="005D2B0F"/>
    <w:rsid w:val="005D600A"/>
    <w:rsid w:val="006502FE"/>
    <w:rsid w:val="00657ADE"/>
    <w:rsid w:val="006A38DD"/>
    <w:rsid w:val="006D0450"/>
    <w:rsid w:val="00731AB1"/>
    <w:rsid w:val="00752046"/>
    <w:rsid w:val="00776FA2"/>
    <w:rsid w:val="007B0F60"/>
    <w:rsid w:val="007C37BE"/>
    <w:rsid w:val="007E54BC"/>
    <w:rsid w:val="00817393"/>
    <w:rsid w:val="00877CD7"/>
    <w:rsid w:val="008B4B92"/>
    <w:rsid w:val="008C6E88"/>
    <w:rsid w:val="00931FF2"/>
    <w:rsid w:val="00937212"/>
    <w:rsid w:val="00955558"/>
    <w:rsid w:val="009816C7"/>
    <w:rsid w:val="009D58F4"/>
    <w:rsid w:val="009E0DAF"/>
    <w:rsid w:val="009E3ABC"/>
    <w:rsid w:val="00A221EE"/>
    <w:rsid w:val="00A458AF"/>
    <w:rsid w:val="00AA7CBD"/>
    <w:rsid w:val="00AD09BA"/>
    <w:rsid w:val="00AD1B0F"/>
    <w:rsid w:val="00B021D5"/>
    <w:rsid w:val="00B30AB4"/>
    <w:rsid w:val="00B46311"/>
    <w:rsid w:val="00BB140A"/>
    <w:rsid w:val="00BB7D2F"/>
    <w:rsid w:val="00C33462"/>
    <w:rsid w:val="00C75244"/>
    <w:rsid w:val="00C9306F"/>
    <w:rsid w:val="00CB780E"/>
    <w:rsid w:val="00D67B88"/>
    <w:rsid w:val="00D70C1E"/>
    <w:rsid w:val="00DC2100"/>
    <w:rsid w:val="00E67803"/>
    <w:rsid w:val="00EB7104"/>
    <w:rsid w:val="00F355E7"/>
    <w:rsid w:val="00F90FB7"/>
    <w:rsid w:val="00FA5B76"/>
    <w:rsid w:val="00FC25A0"/>
    <w:rsid w:val="00FD6365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12B1"/>
  <w15:chartTrackingRefBased/>
  <w15:docId w15:val="{0F17C388-2016-4998-825E-010EFB24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7393"/>
    <w:pPr>
      <w:ind w:left="720"/>
      <w:contextualSpacing/>
    </w:pPr>
  </w:style>
  <w:style w:type="paragraph" w:customStyle="1" w:styleId="Default">
    <w:name w:val="Default"/>
    <w:link w:val="DefaultZnak"/>
    <w:rsid w:val="005D2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5D2B0F"/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350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5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5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502"/>
    <w:rPr>
      <w:vertAlign w:val="superscript"/>
    </w:rPr>
  </w:style>
  <w:style w:type="numbering" w:customStyle="1" w:styleId="Styl3">
    <w:name w:val="Styl3"/>
    <w:uiPriority w:val="99"/>
    <w:rsid w:val="00245120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0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7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73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3C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31F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E88"/>
  </w:style>
  <w:style w:type="paragraph" w:styleId="Stopka">
    <w:name w:val="footer"/>
    <w:basedOn w:val="Normalny"/>
    <w:link w:val="StopkaZnak"/>
    <w:uiPriority w:val="99"/>
    <w:unhideWhenUsed/>
    <w:rsid w:val="008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88"/>
  </w:style>
  <w:style w:type="character" w:styleId="Numerstrony">
    <w:name w:val="page number"/>
    <w:basedOn w:val="Domylnaczcionkaakapitu"/>
    <w:semiHidden/>
    <w:rsid w:val="0049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9AA2-47CF-4EF2-B3D9-5E587937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14292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Pamuła Natalia</cp:lastModifiedBy>
  <cp:revision>2</cp:revision>
  <cp:lastPrinted>2019-10-07T14:09:00Z</cp:lastPrinted>
  <dcterms:created xsi:type="dcterms:W3CDTF">2019-11-19T11:22:00Z</dcterms:created>
  <dcterms:modified xsi:type="dcterms:W3CDTF">2019-11-19T11:22:00Z</dcterms:modified>
</cp:coreProperties>
</file>